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2"/>
          <w:szCs w:val="32"/>
        </w:rPr>
      </w:pPr>
      <w:r>
        <w:rPr>
          <w:rFonts w:ascii="宋体" w:hAnsi="宋体" w:eastAsia="宋体"/>
          <w:b/>
          <w:sz w:val="32"/>
          <w:szCs w:val="32"/>
        </w:rPr>
        <w:t>2022年儋州市基础设施专项债券（三期）</w:t>
      </w:r>
    </w:p>
    <w:p>
      <w:pPr>
        <w:spacing w:line="360" w:lineRule="auto"/>
        <w:jc w:val="center"/>
        <w:rPr>
          <w:rFonts w:ascii="宋体" w:hAnsi="宋体" w:eastAsia="宋体"/>
          <w:b/>
          <w:sz w:val="32"/>
          <w:szCs w:val="32"/>
        </w:rPr>
      </w:pPr>
      <w:r>
        <w:rPr>
          <w:rFonts w:ascii="宋体" w:hAnsi="宋体" w:eastAsia="宋体"/>
          <w:b/>
          <w:sz w:val="32"/>
          <w:szCs w:val="32"/>
        </w:rPr>
        <w:t>项目收益与融资自求平衡方案</w:t>
      </w:r>
    </w:p>
    <w:p>
      <w:pPr>
        <w:spacing w:line="360" w:lineRule="auto"/>
        <w:jc w:val="center"/>
        <w:rPr>
          <w:rFonts w:ascii="宋体" w:hAnsi="宋体" w:eastAsia="宋体"/>
          <w:b/>
          <w:sz w:val="36"/>
          <w:szCs w:val="36"/>
        </w:rPr>
      </w:pP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债券情况</w:t>
      </w:r>
    </w:p>
    <w:p>
      <w:pPr>
        <w:pStyle w:val="19"/>
        <w:tabs>
          <w:tab w:val="left" w:pos="993"/>
          <w:tab w:val="left" w:pos="1276"/>
        </w:tabs>
        <w:spacing w:after="156" w:afterLines="50" w:line="360" w:lineRule="auto"/>
        <w:rPr>
          <w:rFonts w:ascii="宋体" w:hAnsi="宋体" w:eastAsia="宋体"/>
          <w:szCs w:val="21"/>
        </w:rPr>
      </w:pPr>
      <w:r>
        <w:rPr>
          <w:rFonts w:ascii="宋体" w:hAnsi="宋体" w:eastAsia="宋体"/>
          <w:szCs w:val="21"/>
        </w:rPr>
        <w:t>2022年儋州市基础设施专项债券（三期）发行总额为</w:t>
      </w:r>
      <w:r>
        <w:rPr>
          <w:rFonts w:hint="eastAsia" w:ascii="宋体" w:hAnsi="宋体" w:eastAsia="宋体"/>
          <w:szCs w:val="21"/>
        </w:rPr>
        <w:t>1.49</w:t>
      </w:r>
      <w:r>
        <w:rPr>
          <w:rFonts w:ascii="宋体" w:hAnsi="宋体" w:eastAsia="宋体"/>
          <w:szCs w:val="21"/>
        </w:rPr>
        <w:t>亿元，品种为记账式固定利率附息债券，</w:t>
      </w:r>
      <w:r>
        <w:rPr>
          <w:rFonts w:hint="eastAsia" w:ascii="宋体" w:hAnsi="宋体" w:eastAsia="宋体"/>
          <w:szCs w:val="21"/>
        </w:rPr>
        <w:t>全部为</w:t>
      </w:r>
      <w:r>
        <w:rPr>
          <w:rFonts w:ascii="宋体" w:hAnsi="宋体" w:eastAsia="宋体"/>
          <w:szCs w:val="21"/>
        </w:rPr>
        <w:t>新增债券，期限为1</w:t>
      </w:r>
      <w:r>
        <w:rPr>
          <w:rFonts w:hint="eastAsia" w:ascii="宋体" w:hAnsi="宋体" w:eastAsia="宋体"/>
          <w:szCs w:val="21"/>
        </w:rPr>
        <w:t>0年</w:t>
      </w:r>
      <w:r>
        <w:rPr>
          <w:rFonts w:ascii="宋体" w:hAnsi="宋体" w:eastAsia="宋体"/>
          <w:szCs w:val="21"/>
        </w:rPr>
        <w:t>期。本次债券</w:t>
      </w:r>
      <w:r>
        <w:rPr>
          <w:rFonts w:hint="eastAsia" w:ascii="宋体" w:hAnsi="宋体" w:eastAsia="宋体"/>
          <w:szCs w:val="21"/>
        </w:rPr>
        <w:t>利息按半年支付，最后一次利息随本金一起支付</w:t>
      </w:r>
      <w:r>
        <w:rPr>
          <w:rFonts w:ascii="宋体" w:hAnsi="宋体" w:eastAsia="宋体"/>
          <w:szCs w:val="21"/>
        </w:rPr>
        <w:t>，发行后可按规定在全国银行间债券市场和证券交易所债券市场上市流通。</w:t>
      </w:r>
    </w:p>
    <w:p>
      <w:pPr>
        <w:pStyle w:val="19"/>
        <w:tabs>
          <w:tab w:val="left" w:pos="993"/>
          <w:tab w:val="left" w:pos="1276"/>
        </w:tabs>
        <w:spacing w:after="156" w:afterLines="50" w:line="360" w:lineRule="auto"/>
        <w:ind w:left="482" w:firstLine="0" w:firstLineChars="0"/>
        <w:jc w:val="center"/>
        <w:rPr>
          <w:rFonts w:ascii="宋体" w:hAnsi="宋体" w:eastAsia="宋体"/>
          <w:b/>
          <w:szCs w:val="21"/>
        </w:rPr>
      </w:pPr>
      <w:r>
        <w:rPr>
          <w:rFonts w:hint="eastAsia" w:ascii="宋体" w:hAnsi="宋体" w:eastAsia="宋体"/>
          <w:b/>
          <w:szCs w:val="21"/>
        </w:rPr>
        <w:t>拟发行的</w:t>
      </w:r>
      <w:r>
        <w:rPr>
          <w:rFonts w:ascii="宋体" w:hAnsi="宋体" w:eastAsia="宋体"/>
          <w:b/>
          <w:szCs w:val="21"/>
        </w:rPr>
        <w:t>2022年儋州市基础设施专项债券（三期）概况</w:t>
      </w:r>
    </w:p>
    <w:tbl>
      <w:tblPr>
        <w:tblStyle w:val="10"/>
        <w:tblW w:w="86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债券名称</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2022年儋州市基础设施专项债券（三期）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发行规模</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1.49亿元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债券期限</w:t>
            </w:r>
          </w:p>
        </w:tc>
        <w:tc>
          <w:tcPr>
            <w:tcW w:w="6655" w:type="dxa"/>
            <w:vAlign w:val="center"/>
          </w:tcPr>
          <w:p>
            <w:pPr>
              <w:widowControl/>
              <w:spacing w:line="360" w:lineRule="auto"/>
              <w:jc w:val="center"/>
              <w:rPr>
                <w:rFonts w:ascii="宋体" w:hAnsi="宋体" w:eastAsia="宋体"/>
                <w:szCs w:val="21"/>
              </w:rPr>
            </w:pPr>
            <w:r>
              <w:rPr>
                <w:rFonts w:ascii="宋体" w:hAnsi="宋体" w:eastAsia="宋体"/>
                <w:szCs w:val="21"/>
              </w:rPr>
              <w:t>1</w:t>
            </w:r>
            <w:r>
              <w:rPr>
                <w:rFonts w:hint="eastAsia" w:ascii="宋体" w:hAnsi="宋体" w:eastAsia="宋体"/>
                <w:szCs w:val="21"/>
              </w:rPr>
              <w:t>0年期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债券利率</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固定利率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付息方式</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利息按半年支付，最后一次利息随本金一起支付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上市流通安排</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于上市日（即招标日后第3个工作日）起，按规定在全国银行间债券市场和证券交易所债券市场上市流通</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基本假设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1、预测期内国家政策、法律以及当前社会政治，经济环境不发生重大变化；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2、预测期内国家税收政策不发生重大变化；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3、预测期内国家金融机构信贷利率以及外汇市场汇率相对面稳定；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预测期内项目所从事的行业及市场状况不发生重大变化；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预测期内经营运作未受到诸如能源、原材料、人员、交通、电</w:t>
      </w:r>
      <w:r>
        <w:rPr>
          <w:rFonts w:hint="eastAsia" w:asciiTheme="minorEastAsia" w:hAnsiTheme="minorEastAsia" w:eastAsiaTheme="minorEastAsia"/>
          <w:szCs w:val="21"/>
        </w:rPr>
        <w:t>信、水电供应等的严重短缺和成本中客观因素的巨大变化而产生的不利影响；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预测期内各工程项目能够获得相关政府部门的审批，项目的建</w:t>
      </w:r>
      <w:r>
        <w:rPr>
          <w:rFonts w:hint="eastAsia" w:asciiTheme="minorEastAsia" w:hAnsiTheme="minorEastAsia" w:eastAsiaTheme="minorEastAsia"/>
          <w:szCs w:val="21"/>
        </w:rPr>
        <w:t>设计划、融资计划等能够顺利执行；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预测期内出现的年度资金缺口能够由政府基金预算收入统筹</w:t>
      </w:r>
      <w:r>
        <w:rPr>
          <w:rFonts w:hint="eastAsia" w:asciiTheme="minorEastAsia" w:hAnsiTheme="minorEastAsia" w:eastAsiaTheme="minorEastAsia"/>
          <w:szCs w:val="21"/>
        </w:rPr>
        <w:t>安排解决；</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无其他人力不可抗拒因素和不可预算因素所造成的重大不利</w:t>
      </w:r>
      <w:r>
        <w:rPr>
          <w:rFonts w:hint="eastAsia" w:asciiTheme="minorEastAsia" w:hAnsiTheme="minorEastAsia" w:eastAsiaTheme="minorEastAsia"/>
          <w:szCs w:val="21"/>
        </w:rPr>
        <w:t>影响。</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区域情况</w:t>
      </w:r>
    </w:p>
    <w:p>
      <w:pPr>
        <w:pStyle w:val="19"/>
        <w:numPr>
          <w:ilvl w:val="0"/>
          <w:numId w:val="2"/>
        </w:numPr>
        <w:tabs>
          <w:tab w:val="left" w:pos="993"/>
          <w:tab w:val="left" w:pos="1276"/>
        </w:tabs>
        <w:spacing w:before="156" w:beforeLines="50" w:after="156" w:afterLines="50" w:line="36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儋州概况</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宋体" w:hAnsi="宋体" w:eastAsia="宋体"/>
          <w:szCs w:val="21"/>
        </w:rPr>
        <w:t>儋州市是海南省下辖的地级市，位于海南岛西北部，西和北濒临北部湾，东邻临高和澄迈，南至东南靠琼中和白沙，西南与昌江接壤。是海南西部地区的经济、交通、通信和文化中心，被确定为海南西部中心城市</w:t>
      </w:r>
      <w:r>
        <w:rPr>
          <w:rFonts w:hint="eastAsia" w:asciiTheme="minorEastAsia" w:hAnsiTheme="minorEastAsia" w:eastAsiaTheme="minorEastAsia"/>
          <w:szCs w:val="21"/>
        </w:rPr>
        <w:t>。</w:t>
      </w:r>
    </w:p>
    <w:p>
      <w:pPr>
        <w:pStyle w:val="19"/>
        <w:numPr>
          <w:ilvl w:val="0"/>
          <w:numId w:val="2"/>
        </w:numPr>
        <w:tabs>
          <w:tab w:val="left" w:pos="993"/>
          <w:tab w:val="left" w:pos="1276"/>
        </w:tabs>
        <w:spacing w:before="156" w:beforeLines="50" w:after="156" w:afterLines="50" w:line="36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儋州市经济发展情况及财政情况</w:t>
      </w:r>
    </w:p>
    <w:p>
      <w:pPr>
        <w:spacing w:line="360" w:lineRule="auto"/>
        <w:ind w:firstLine="420" w:firstLineChars="200"/>
        <w:jc w:val="center"/>
        <w:rPr>
          <w:rFonts w:ascii="宋体" w:hAnsi="宋体" w:eastAsia="宋体" w:cs="宋体"/>
          <w:bCs/>
          <w:color w:val="000000"/>
          <w:kern w:val="0"/>
          <w:szCs w:val="21"/>
        </w:rPr>
      </w:pPr>
      <w:r>
        <w:rPr>
          <w:rFonts w:hint="eastAsia" w:ascii="宋体" w:hAnsi="宋体" w:eastAsia="宋体" w:cs="宋体"/>
          <w:bCs/>
          <w:color w:val="000000"/>
          <w:kern w:val="0"/>
          <w:szCs w:val="21"/>
        </w:rPr>
        <w:t>儋州市</w:t>
      </w:r>
      <w:r>
        <w:rPr>
          <w:rFonts w:ascii="宋体" w:hAnsi="宋体" w:eastAsia="宋体" w:cs="宋体"/>
          <w:bCs/>
          <w:color w:val="000000"/>
          <w:kern w:val="0"/>
          <w:szCs w:val="21"/>
        </w:rPr>
        <w:t>201</w:t>
      </w:r>
      <w:r>
        <w:rPr>
          <w:rFonts w:hint="eastAsia" w:ascii="宋体" w:hAnsi="宋体" w:eastAsia="宋体" w:cs="宋体"/>
          <w:bCs/>
          <w:color w:val="000000"/>
          <w:kern w:val="0"/>
          <w:szCs w:val="21"/>
        </w:rPr>
        <w:t>9</w:t>
      </w:r>
      <w:r>
        <w:rPr>
          <w:rFonts w:ascii="宋体" w:hAnsi="宋体" w:eastAsia="宋体" w:cs="宋体"/>
          <w:bCs/>
          <w:color w:val="000000"/>
          <w:kern w:val="0"/>
          <w:szCs w:val="21"/>
        </w:rPr>
        <w:t>—202</w:t>
      </w:r>
      <w:r>
        <w:rPr>
          <w:rFonts w:hint="eastAsia" w:ascii="宋体" w:hAnsi="宋体" w:eastAsia="宋体" w:cs="宋体"/>
          <w:bCs/>
          <w:color w:val="000000"/>
          <w:kern w:val="0"/>
          <w:szCs w:val="21"/>
        </w:rPr>
        <w:t>1</w:t>
      </w:r>
      <w:r>
        <w:rPr>
          <w:rFonts w:ascii="宋体" w:hAnsi="宋体" w:eastAsia="宋体" w:cs="宋体"/>
          <w:bCs/>
          <w:color w:val="000000"/>
          <w:kern w:val="0"/>
          <w:szCs w:val="21"/>
        </w:rPr>
        <w:t>年财政经济数据</w:t>
      </w:r>
    </w:p>
    <w:p>
      <w:pPr>
        <w:spacing w:line="360" w:lineRule="auto"/>
        <w:ind w:firstLine="420" w:firstLineChars="200"/>
        <w:jc w:val="right"/>
        <w:rPr>
          <w:rFonts w:ascii="宋体" w:hAnsi="宋体" w:eastAsia="宋体" w:cs="宋体"/>
          <w:color w:val="000000"/>
          <w:kern w:val="0"/>
          <w:szCs w:val="21"/>
        </w:rPr>
      </w:pPr>
      <w:r>
        <w:rPr>
          <w:rFonts w:hint="eastAsia" w:ascii="宋体" w:hAnsi="宋体" w:eastAsia="宋体" w:cs="宋体"/>
          <w:color w:val="000000"/>
          <w:kern w:val="0"/>
          <w:szCs w:val="21"/>
        </w:rPr>
        <w:t>单位：亿元</w:t>
      </w:r>
    </w:p>
    <w:tbl>
      <w:tblPr>
        <w:tblStyle w:val="10"/>
        <w:tblW w:w="8522"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508"/>
        <w:gridCol w:w="1670"/>
        <w:gridCol w:w="1672"/>
        <w:gridCol w:w="1672"/>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项目</w:t>
            </w:r>
          </w:p>
        </w:tc>
        <w:tc>
          <w:tcPr>
            <w:tcW w:w="1670"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2019</w:t>
            </w:r>
            <w:r>
              <w:rPr>
                <w:rFonts w:hint="eastAsia" w:ascii="Times New Roman" w:hAnsi="Times New Roman" w:eastAsia="宋体"/>
                <w:color w:val="000000"/>
                <w:kern w:val="0"/>
                <w:sz w:val="18"/>
                <w:szCs w:val="18"/>
              </w:rPr>
              <w:t>年</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2020</w:t>
            </w:r>
            <w:r>
              <w:rPr>
                <w:rFonts w:hint="eastAsia" w:ascii="Times New Roman" w:hAnsi="Times New Roman" w:eastAsia="宋体"/>
                <w:color w:val="000000"/>
                <w:kern w:val="0"/>
                <w:sz w:val="18"/>
                <w:szCs w:val="18"/>
              </w:rPr>
              <w:t>年</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202</w:t>
            </w:r>
            <w:r>
              <w:rPr>
                <w:rFonts w:hint="eastAsia" w:ascii="Times New Roman" w:hAnsi="Times New Roman" w:eastAsia="宋体"/>
                <w:color w:val="000000"/>
                <w:kern w:val="0"/>
                <w:sz w:val="18"/>
                <w:szCs w:val="18"/>
              </w:rPr>
              <w:t>1年</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4" w:space="0"/>
            </w:tcBorders>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地区生产总值</w:t>
            </w:r>
          </w:p>
        </w:tc>
        <w:tc>
          <w:tcPr>
            <w:tcW w:w="1670" w:type="dxa"/>
            <w:tcBorders>
              <w:top w:val="single" w:color="auto" w:sz="4" w:space="0"/>
            </w:tcBorders>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357.64</w:t>
            </w:r>
          </w:p>
        </w:tc>
        <w:tc>
          <w:tcPr>
            <w:tcW w:w="1672" w:type="dxa"/>
            <w:tcBorders>
              <w:top w:val="single" w:color="auto" w:sz="4" w:space="0"/>
            </w:tcBorders>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359.41</w:t>
            </w:r>
          </w:p>
        </w:tc>
        <w:tc>
          <w:tcPr>
            <w:tcW w:w="1672" w:type="dxa"/>
            <w:tcBorders>
              <w:top w:val="single" w:color="auto" w:sz="4" w:space="0"/>
            </w:tcBorders>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395.33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一般公共预算收入</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20.60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22.03</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18.35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政府性基金收入</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5.70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19.31</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9.14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一般公共预算支出</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101.</w:t>
            </w:r>
            <w:r>
              <w:rPr>
                <w:rFonts w:hint="eastAsia" w:ascii="Times New Roman" w:hAnsi="Times New Roman" w:eastAsia="宋体"/>
                <w:color w:val="000000"/>
                <w:kern w:val="0"/>
                <w:sz w:val="18"/>
                <w:szCs w:val="18"/>
              </w:rPr>
              <w:t>3</w:t>
            </w:r>
            <w:r>
              <w:rPr>
                <w:rFonts w:ascii="Times New Roman" w:hAnsi="Times New Roman" w:eastAsia="宋体"/>
                <w:color w:val="000000"/>
                <w:kern w:val="0"/>
                <w:sz w:val="18"/>
                <w:szCs w:val="18"/>
              </w:rPr>
              <w:t>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89.52</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70.17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政府性基金支出</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32.90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46.10</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23.26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地方债务限额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119.50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143.03</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217.70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其中：一般债务限额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60.07</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64.21</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103.25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专项债务限额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59.43</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78.82</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114.45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地方债务余额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119.13</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142.58</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217.70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其中：一般债务余额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59.71</w:t>
            </w:r>
          </w:p>
        </w:tc>
        <w:tc>
          <w:tcPr>
            <w:tcW w:w="1672" w:type="dxa"/>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64.17</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103.25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专项债务余额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59.42</w:t>
            </w:r>
          </w:p>
        </w:tc>
        <w:tc>
          <w:tcPr>
            <w:tcW w:w="1672" w:type="dxa"/>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78.41</w:t>
            </w:r>
          </w:p>
        </w:tc>
        <w:tc>
          <w:tcPr>
            <w:tcW w:w="1672" w:type="dxa"/>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114.45 </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项目概况</w:t>
      </w:r>
    </w:p>
    <w:p>
      <w:pPr>
        <w:pStyle w:val="19"/>
        <w:spacing w:line="360" w:lineRule="auto"/>
        <w:rPr>
          <w:rFonts w:ascii="宋体" w:hAnsi="宋体" w:eastAsia="宋体"/>
          <w:szCs w:val="21"/>
        </w:rPr>
      </w:pPr>
      <w:r>
        <w:rPr>
          <w:rFonts w:ascii="宋体" w:hAnsi="宋体" w:eastAsia="宋体"/>
          <w:szCs w:val="21"/>
        </w:rPr>
        <w:t>2022年儋州市基础设施专项债券（三期）包括</w:t>
      </w:r>
      <w:r>
        <w:rPr>
          <w:rFonts w:hint="eastAsia" w:ascii="宋体" w:hAnsi="宋体" w:eastAsia="宋体"/>
          <w:szCs w:val="21"/>
        </w:rPr>
        <w:t>上海师范大学附属儋州实验学校周边路网工程、儋州市滨海新区基础设施建设工程（三期）、儋州市滨海新区中央大道、儋州市滨海新区基础设施建设工程（二期）、海南省儋州市中和镇历史文化名镇街道立面改造及配套工程、儋州市滨海未来社区（一期）、儋州市那大镇云月路消防站拆除重建工程、雅星镇生态养殖产业基地配套基础设施建设项目等</w:t>
      </w:r>
      <w:r>
        <w:rPr>
          <w:rFonts w:ascii="宋体" w:hAnsi="宋体" w:eastAsia="宋体"/>
          <w:szCs w:val="21"/>
        </w:rPr>
        <w:t>八个项目</w:t>
      </w:r>
      <w:r>
        <w:rPr>
          <w:rFonts w:hint="eastAsia" w:ascii="宋体" w:hAnsi="宋体" w:eastAsia="宋体"/>
          <w:szCs w:val="21"/>
        </w:rPr>
        <w:t>。项目基本情况如下：</w:t>
      </w:r>
    </w:p>
    <w:p>
      <w:pPr>
        <w:pStyle w:val="9"/>
        <w:spacing w:line="360" w:lineRule="auto"/>
        <w:ind w:left="0" w:leftChars="0" w:firstLine="422" w:firstLineChars="200"/>
        <w:rPr>
          <w:b/>
          <w:bCs/>
        </w:rPr>
      </w:pPr>
      <w:r>
        <w:rPr>
          <w:rFonts w:hint="eastAsia"/>
          <w:b/>
          <w:bCs/>
        </w:rPr>
        <w:t>项目一：</w:t>
      </w:r>
      <w:r>
        <w:rPr>
          <w:b/>
          <w:bCs/>
        </w:rPr>
        <w:t>上海师范大学附属儋州实验学校周边路网工程</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项目建设地址：儋州市那大镇。</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拟建两条市政道路，分别为规划一路和规划三路，总长1086.592m，其中:规划一路西起王桐路，东至规划四路，全长550.824m;规划三路北起伏坡东路，南至规划二路，全长535.768m。道路等级为城市支路，红线宽度为20m，设计车速为30km/h，路面结构为沥青砼路面，设计使用年限为10年。主要建设内容包括道路工程、交通工程、给排水工程、电气工程及绿化工程等。</w:t>
      </w:r>
    </w:p>
    <w:p>
      <w:pPr>
        <w:spacing w:line="360" w:lineRule="auto"/>
        <w:ind w:firstLine="420" w:firstLineChars="200"/>
        <w:rPr>
          <w:rFonts w:ascii="宋体" w:hAnsi="宋体" w:eastAsia="宋体"/>
        </w:rPr>
      </w:pPr>
      <w:r>
        <w:rPr>
          <w:rFonts w:hint="eastAsia" w:ascii="宋体" w:hAnsi="宋体" w:eastAsia="宋体"/>
        </w:rPr>
        <w:t>项目进展情况：取得上海师范大学附属儋州实验学校周边路网工程（规划一路、规划三路）初步设计及概算批复。</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cantSplit/>
          <w:trHeight w:val="1134"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关于上海师范大学附属儋州实验学校周边路网工程项目建议书的批复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儋发改建议【2021】11号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2021年11月10日</w:t>
            </w:r>
          </w:p>
        </w:tc>
      </w:tr>
      <w:tr>
        <w:tblPrEx>
          <w:tblCellMar>
            <w:top w:w="0" w:type="dxa"/>
            <w:left w:w="108" w:type="dxa"/>
            <w:bottom w:w="0" w:type="dxa"/>
            <w:right w:w="108" w:type="dxa"/>
          </w:tblCellMar>
        </w:tblPrEx>
        <w:trPr>
          <w:cantSplit/>
          <w:trHeight w:val="1134"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关于上海师范大学附属儋州实验学校周边路网工程可行性研究报告的批复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儋发改可研【2021】32号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2021年12月13日</w:t>
            </w:r>
          </w:p>
        </w:tc>
      </w:tr>
      <w:tr>
        <w:trPr>
          <w:cantSplit/>
          <w:trHeight w:val="1134"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关于上海师范大学附属儋州实验学校周边路网工程（规划一路、规划三路)初步设计及概算的批复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儋发改概算【2022】8号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2022年2月28日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项目二：</w:t>
      </w:r>
      <w:r>
        <w:rPr>
          <w:rFonts w:ascii="宋体" w:hAnsi="宋体" w:eastAsia="宋体"/>
          <w:b/>
          <w:bCs/>
        </w:rPr>
        <w:t>儋州市滨海新区基础设施建设工程（三期）</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项目建设地址：儋州市滨海新区。</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建设规模及内容：本项目为新建通海大道延长线，通海大道道路规划等级为城市主干路，规划红线宽</w:t>
      </w:r>
      <w:r>
        <w:rPr>
          <w:rFonts w:ascii="宋体" w:hAnsi="宋体" w:eastAsia="宋体"/>
        </w:rPr>
        <w:t>40m，双向6车道，设计速度40km/h。通海大道延长线东起滨海二道，西至X504县道，道路里程约2.2km。主要建设内容包括道路工程、交通工程、桥涵工程、绿化工程、给排水工程、电力工程、通信工程、照明工程等。</w:t>
      </w:r>
    </w:p>
    <w:p>
      <w:pPr>
        <w:spacing w:line="360" w:lineRule="auto"/>
        <w:ind w:firstLine="420" w:firstLineChars="200"/>
        <w:rPr>
          <w:rFonts w:ascii="宋体" w:hAnsi="宋体" w:eastAsia="宋体"/>
        </w:rPr>
      </w:pPr>
      <w:r>
        <w:rPr>
          <w:rFonts w:hint="eastAsia" w:ascii="宋体" w:hAnsi="宋体" w:eastAsia="宋体"/>
        </w:rPr>
        <w:t>项目进展情况：已完成项目建议书的批复工作，正在进行可研编制工作。</w:t>
      </w:r>
    </w:p>
    <w:p>
      <w:pPr>
        <w:spacing w:line="360" w:lineRule="auto"/>
        <w:ind w:firstLine="420" w:firstLineChars="200"/>
        <w:rPr>
          <w:rFonts w:ascii="宋体" w:hAnsi="宋体" w:eastAsia="宋体"/>
          <w:b/>
          <w:bCs/>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关于儋州市滨海新区基础设施建设工程（三期）项目建议书的批复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儋发改建议【2022】7号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2022年3月16日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项目三：</w:t>
      </w:r>
      <w:r>
        <w:rPr>
          <w:rFonts w:ascii="宋体" w:hAnsi="宋体" w:eastAsia="宋体"/>
          <w:b/>
          <w:bCs/>
        </w:rPr>
        <w:t>儋州市滨海新区中央大道</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项目建设地址：儋州市滨海新区。</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建设规模及内容：本项目中央大道全</w:t>
      </w:r>
      <w:r>
        <w:rPr>
          <w:rFonts w:ascii="宋体" w:hAnsi="宋体" w:eastAsia="宋体"/>
        </w:rPr>
        <w:t>3823.796m，中央大道（北段）长度553.611，宽度50m ;中央大道（东段）长度1645.325m，宽度30m ;中央大道（西段）长度1624.860m，宽度30m。主要建设内容包括道路工程、交通工程、给排水工程、照明工程、电力通信工程、绿化工程等。</w:t>
      </w:r>
    </w:p>
    <w:p>
      <w:pPr>
        <w:spacing w:line="360" w:lineRule="auto"/>
        <w:ind w:firstLine="420" w:firstLineChars="200"/>
        <w:rPr>
          <w:rFonts w:ascii="宋体" w:hAnsi="宋体" w:eastAsia="宋体"/>
        </w:rPr>
      </w:pPr>
      <w:r>
        <w:rPr>
          <w:rFonts w:hint="eastAsia" w:ascii="宋体" w:hAnsi="宋体" w:eastAsia="宋体"/>
        </w:rPr>
        <w:t>项目进展情况：完成项目建议书的批复，目前正在进行可研编制工作。</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关于儋州市滨海新区中央大道项目建议书的批复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儋发改建议【2022】8号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2022年3月21日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项目四：</w:t>
      </w:r>
      <w:r>
        <w:rPr>
          <w:rFonts w:ascii="宋体" w:hAnsi="宋体" w:eastAsia="宋体"/>
          <w:b/>
          <w:bCs/>
        </w:rPr>
        <w:t>儋州市滨海新区基础设施建设工程（二期）</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项目建设地址：儋州市滨海新区。</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建设规模及内容：本项目通海西路北起滨经二路</w:t>
      </w:r>
      <w:r>
        <w:rPr>
          <w:rFonts w:ascii="宋体" w:hAnsi="宋体" w:eastAsia="宋体"/>
        </w:rPr>
        <w:t>(建设中),南至滨海二道,路线全长630.454m，道路红线宽度30m，双向四车道，沥青砼路面，设计行车速度为40km/h，城市次干道。建设内容包括:道路工程、交通工程、给排水工程、照明工程、电力通信工程、绿化工程等。</w:t>
      </w:r>
    </w:p>
    <w:p>
      <w:pPr>
        <w:spacing w:line="360" w:lineRule="auto"/>
        <w:ind w:firstLine="420" w:firstLineChars="200"/>
        <w:rPr>
          <w:rFonts w:ascii="宋体" w:hAnsi="宋体" w:eastAsia="宋体"/>
        </w:rPr>
      </w:pPr>
      <w:r>
        <w:rPr>
          <w:rFonts w:hint="eastAsia" w:ascii="宋体" w:hAnsi="宋体" w:eastAsia="宋体"/>
        </w:rPr>
        <w:t>项目进展情况：完成可行性研究报告的批复，目前正在进行初步设计及概算编制工作。</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关于儋州市滨海新区基础设施建设工程（二期）可行性研究报告的批复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儋发改可研【2022】15号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2022年4月13日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项目五：</w:t>
      </w:r>
      <w:r>
        <w:rPr>
          <w:rFonts w:ascii="宋体" w:hAnsi="宋体" w:eastAsia="宋体"/>
          <w:b/>
          <w:bCs/>
        </w:rPr>
        <w:t>海南省儋州市中和镇历史文化名镇街道立面改造及配套工程</w:t>
      </w:r>
    </w:p>
    <w:p>
      <w:pPr>
        <w:spacing w:line="360" w:lineRule="auto"/>
        <w:ind w:firstLine="420" w:firstLineChars="200"/>
        <w:rPr>
          <w:rFonts w:ascii="宋体" w:hAnsi="宋体" w:eastAsia="宋体"/>
        </w:rPr>
      </w:pPr>
      <w:r>
        <w:rPr>
          <w:rFonts w:hint="eastAsia" w:ascii="宋体" w:hAnsi="宋体" w:eastAsia="宋体"/>
        </w:rPr>
        <w:t>项目实施单位：儋州市住房和城乡建设局，负责项目的招标、工程项目监督、资金管理以及未来债券的还本付息事项。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项目主管部门：儋州市住房和城乡建设局，负责监督资金的使用。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项目建设地址：儋州市中和镇。</w:t>
      </w:r>
    </w:p>
    <w:p>
      <w:pPr>
        <w:pStyle w:val="9"/>
        <w:spacing w:line="360" w:lineRule="auto"/>
        <w:ind w:left="0" w:leftChars="0" w:firstLineChars="200"/>
        <w:rPr>
          <w:rFonts w:ascii="宋体" w:hAnsi="宋体" w:eastAsia="宋体"/>
        </w:rPr>
      </w:pPr>
      <w:r>
        <w:rPr>
          <w:rFonts w:hint="eastAsia" w:ascii="宋体" w:hAnsi="宋体" w:eastAsia="宋体"/>
        </w:rPr>
        <w:t>建设规模及内容：房屋立面改造总面积为42247.8平方米，绿化及环境整治改造面积为36227.86平方米，街道改造长度为4608米，配套建设两个停车场，面积分别为8518.86平方米及13056.63平方米。建设内容主要包括中和镇区内的建筑立面改造、镇区内市政基础设施的改造、恍榔庵以及孔庙的建筑工程、在镇区南北两侧各新建两个生态停车场、对镇区街道环境进行整治</w:t>
      </w:r>
      <w:bookmarkStart w:id="0" w:name="_GoBack"/>
      <w:bookmarkEnd w:id="0"/>
      <w:r>
        <w:rPr>
          <w:rFonts w:hint="eastAsia" w:ascii="宋体" w:hAnsi="宋体" w:eastAsia="宋体"/>
        </w:rPr>
        <w:t>及绿化建设等。</w:t>
      </w:r>
    </w:p>
    <w:p>
      <w:pPr>
        <w:spacing w:line="360" w:lineRule="auto"/>
        <w:ind w:firstLine="420" w:firstLineChars="200"/>
        <w:rPr>
          <w:rFonts w:ascii="宋体" w:hAnsi="宋体" w:eastAsia="宋体"/>
        </w:rPr>
      </w:pPr>
      <w:r>
        <w:rPr>
          <w:rFonts w:hint="eastAsia" w:ascii="宋体" w:hAnsi="宋体" w:eastAsia="宋体"/>
        </w:rPr>
        <w:t>项目进展情况：已完成房屋立面改造、市政基础设施及绿化改造等内容</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儋州市发展和改革委员会关于儋州市中和镇历史文化名镇街道立面改造及配套工程项目初步设计和概算的批复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儋发改概算[2016]14号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2016年1月18日</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儋州市发展和改革委员会关于中和镇历史文化名镇街道立面改造及配套工程项目可行性研究报告的批复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儋发改可研[2015]28号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2015年7月8日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项目六：</w:t>
      </w:r>
      <w:r>
        <w:rPr>
          <w:rFonts w:ascii="宋体" w:hAnsi="宋体" w:eastAsia="宋体"/>
          <w:b/>
          <w:bCs/>
        </w:rPr>
        <w:t>儋州市滨海未来社区（一期）</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项目建设地址：儋州市白马井镇</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建设规模及内容：本项目总规划用地面积约</w:t>
      </w:r>
      <w:r>
        <w:rPr>
          <w:rFonts w:ascii="宋体" w:hAnsi="宋体" w:eastAsia="宋体"/>
        </w:rPr>
        <w:t>105亩(约7公顷)，容积率 3.5，总建筑面积约为29.84 万m2，其中计容建筑面积24.5万m'，不计容建筑面积5.34万m'。建设内容包括住宅，沿街商业，地下停车库及设备用房等。项目配套建设相应的基础设施，包括区内道路工程、雨水工程、海绵城市、给排水工程、室外消防、室外照明、绿化工程、土方工程、人防工程等。</w:t>
      </w:r>
    </w:p>
    <w:p>
      <w:pPr>
        <w:spacing w:line="360" w:lineRule="auto"/>
        <w:ind w:firstLine="420" w:firstLineChars="200"/>
        <w:rPr>
          <w:rFonts w:ascii="宋体" w:hAnsi="宋体" w:eastAsia="宋体"/>
        </w:rPr>
      </w:pPr>
      <w:r>
        <w:rPr>
          <w:rFonts w:hint="eastAsia" w:ascii="宋体" w:hAnsi="宋体" w:eastAsia="宋体"/>
        </w:rPr>
        <w:t>项目进展情况：完成项目建议书的批复，目前正在进行可研编制工作。</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关于儋州市滨海未来社区（一期）项目建议书的批复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儋发改建议【2022】9号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2022年3月24日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项目七：</w:t>
      </w:r>
      <w:r>
        <w:rPr>
          <w:rFonts w:ascii="宋体" w:hAnsi="宋体" w:eastAsia="宋体"/>
          <w:b/>
          <w:bCs/>
        </w:rPr>
        <w:t>儋州市那大镇云月路消防站拆除重建工程</w:t>
      </w:r>
    </w:p>
    <w:p>
      <w:pPr>
        <w:spacing w:line="360" w:lineRule="auto"/>
        <w:ind w:firstLine="420" w:firstLineChars="200"/>
        <w:rPr>
          <w:rFonts w:ascii="宋体" w:hAnsi="宋体" w:eastAsia="宋体"/>
        </w:rPr>
      </w:pPr>
      <w:r>
        <w:rPr>
          <w:rFonts w:hint="eastAsia" w:ascii="宋体" w:hAnsi="宋体" w:eastAsia="宋体"/>
        </w:rPr>
        <w:t>项目实施单位：儋州市消防救援支队，负责项目的招标、工程项目监督、资金管理以及未来债券的还本付息事项。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项目主管部门：海南省消防救援总队，负责监督资金的使用。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项目建设地址：儋州市那大镇人民西路。</w:t>
      </w:r>
    </w:p>
    <w:p>
      <w:pPr>
        <w:pStyle w:val="9"/>
        <w:spacing w:line="360" w:lineRule="auto"/>
        <w:ind w:left="0" w:leftChars="0" w:firstLineChars="200"/>
        <w:rPr>
          <w:rFonts w:ascii="宋体" w:hAnsi="宋体" w:eastAsia="宋体"/>
        </w:rPr>
      </w:pPr>
      <w:r>
        <w:rPr>
          <w:rFonts w:hint="eastAsia" w:ascii="宋体" w:hAnsi="宋体" w:eastAsia="宋体"/>
        </w:rPr>
        <w:t>建设规模及内容：本项目拟拆除原消防站并新建一座规模为一级普通消防站，总用地面积17822.03 m</w:t>
      </w:r>
      <w:r>
        <w:rPr>
          <w:rFonts w:hint="eastAsia" w:ascii="宋体" w:hAnsi="宋体" w:eastAsia="宋体"/>
          <w:vertAlign w:val="superscript"/>
        </w:rPr>
        <w:t>2</w:t>
      </w:r>
      <w:r>
        <w:rPr>
          <w:rFonts w:hint="eastAsia" w:ascii="宋体" w:hAnsi="宋体" w:eastAsia="宋体"/>
        </w:rPr>
        <w:t>，拆除原有建筑物面积1930 m</w:t>
      </w:r>
      <w:r>
        <w:rPr>
          <w:rFonts w:hint="eastAsia" w:ascii="宋体" w:hAnsi="宋体" w:eastAsia="宋体"/>
          <w:vertAlign w:val="superscript"/>
        </w:rPr>
        <w:t>2</w:t>
      </w:r>
      <w:r>
        <w:rPr>
          <w:rFonts w:hint="eastAsia" w:ascii="宋体" w:hAnsi="宋体" w:eastAsia="宋体"/>
        </w:rPr>
        <w:t>，新建总建筑面积4183.17 m</w:t>
      </w:r>
      <w:r>
        <w:rPr>
          <w:rFonts w:hint="eastAsia" w:ascii="宋体" w:hAnsi="宋体" w:eastAsia="宋体"/>
          <w:vertAlign w:val="superscript"/>
        </w:rPr>
        <w:t>2</w:t>
      </w:r>
      <w:r>
        <w:rPr>
          <w:rFonts w:hint="eastAsia" w:ascii="宋体" w:hAnsi="宋体" w:eastAsia="宋体"/>
        </w:rPr>
        <w:t>，其中新建单体建筑包括:执勤楼为地上3层建筑，建筑面积3730.40 m</w:t>
      </w:r>
      <w:r>
        <w:rPr>
          <w:rFonts w:hint="eastAsia" w:ascii="宋体" w:hAnsi="宋体" w:eastAsia="宋体"/>
          <w:vertAlign w:val="superscript"/>
        </w:rPr>
        <w:t>2</w:t>
      </w:r>
      <w:r>
        <w:rPr>
          <w:rFonts w:hint="eastAsia" w:ascii="宋体" w:hAnsi="宋体" w:eastAsia="宋体"/>
        </w:rPr>
        <w:t>;训练塔为地上10层建筑,建筑面积430.05m</w:t>
      </w:r>
      <w:r>
        <w:rPr>
          <w:rFonts w:hint="eastAsia" w:ascii="宋体" w:hAnsi="宋体" w:eastAsia="宋体"/>
          <w:vertAlign w:val="superscript"/>
        </w:rPr>
        <w:t>2</w:t>
      </w:r>
      <w:r>
        <w:rPr>
          <w:rFonts w:hint="eastAsia" w:ascii="宋体" w:hAnsi="宋体" w:eastAsia="宋体"/>
        </w:rPr>
        <w:t>，门卫室为地上1层建筑,建筑面积22.72m</w:t>
      </w:r>
      <w:r>
        <w:rPr>
          <w:rFonts w:hint="eastAsia" w:ascii="宋体" w:hAnsi="宋体" w:eastAsia="宋体"/>
          <w:vertAlign w:val="superscript"/>
        </w:rPr>
        <w:t>2</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项目进展情况：已完成施工图设计审核、工程量清单和招标控制价，确定招标代理公司后开展招投标工作。</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关于儋州市那大镇云月路消防站拆除重建工程初步设计及概算的批复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儋发改概算[2021]100号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2021年12月9日</w:t>
            </w:r>
          </w:p>
        </w:tc>
      </w:tr>
    </w:tbl>
    <w:p>
      <w:pPr>
        <w:pStyle w:val="9"/>
        <w:spacing w:line="360" w:lineRule="auto"/>
        <w:ind w:left="0" w:leftChars="0" w:firstLine="422" w:firstLineChars="200"/>
        <w:rPr>
          <w:rFonts w:ascii="宋体" w:hAnsi="宋体" w:eastAsia="宋体"/>
          <w:b/>
          <w:bCs/>
        </w:rPr>
      </w:pPr>
      <w:r>
        <w:rPr>
          <w:rFonts w:hint="eastAsia" w:ascii="宋体" w:hAnsi="宋体" w:eastAsia="宋体"/>
          <w:b/>
          <w:bCs/>
        </w:rPr>
        <w:t>项目八：</w:t>
      </w:r>
      <w:r>
        <w:rPr>
          <w:rFonts w:ascii="宋体" w:hAnsi="宋体" w:eastAsia="宋体"/>
          <w:b/>
          <w:bCs/>
        </w:rPr>
        <w:t>雅星镇生态养殖产业基地配套基础设施建设项</w:t>
      </w:r>
    </w:p>
    <w:p>
      <w:pPr>
        <w:spacing w:line="360" w:lineRule="auto"/>
        <w:ind w:firstLine="420" w:firstLineChars="200"/>
        <w:rPr>
          <w:rFonts w:ascii="宋体" w:hAnsi="宋体" w:eastAsia="宋体"/>
        </w:rPr>
      </w:pPr>
      <w:r>
        <w:rPr>
          <w:rFonts w:hint="eastAsia" w:ascii="宋体" w:hAnsi="宋体" w:eastAsia="宋体"/>
        </w:rPr>
        <w:t>项目实施单位：儋州市项目管理中心，负责项目的招标、工程项目监督、资金管理以及未来债券的还本付息事项。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项目主管部门：儋州市发展和改革委员会，负责监督资金的使用。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项目建设地址：儋州市雅星镇。</w:t>
      </w:r>
    </w:p>
    <w:p>
      <w:pPr>
        <w:pStyle w:val="9"/>
        <w:spacing w:line="360" w:lineRule="auto"/>
        <w:ind w:left="0" w:leftChars="0" w:firstLineChars="200"/>
        <w:rPr>
          <w:rFonts w:ascii="宋体" w:hAnsi="宋体" w:eastAsia="宋体"/>
        </w:rPr>
      </w:pPr>
      <w:r>
        <w:rPr>
          <w:rFonts w:hint="eastAsia" w:ascii="宋体" w:hAnsi="宋体" w:eastAsia="宋体"/>
        </w:rPr>
        <w:t>建设规模及内容：</w:t>
      </w:r>
    </w:p>
    <w:p>
      <w:pPr>
        <w:pStyle w:val="9"/>
        <w:spacing w:line="360" w:lineRule="auto"/>
        <w:ind w:left="0" w:leftChars="0" w:firstLineChars="200"/>
        <w:rPr>
          <w:rFonts w:ascii="宋体" w:hAnsi="宋体" w:eastAsia="宋体"/>
        </w:rPr>
      </w:pPr>
      <w:r>
        <w:rPr>
          <w:rFonts w:hint="eastAsia" w:ascii="宋体" w:hAnsi="宋体" w:eastAsia="宋体"/>
        </w:rPr>
        <w:t>(一)儋州市雅星镇春江水厂配套电力工程（罗牛山儋州大讲20万头生态养殖基地)</w:t>
      </w:r>
    </w:p>
    <w:p>
      <w:pPr>
        <w:pStyle w:val="9"/>
        <w:spacing w:line="360" w:lineRule="auto"/>
        <w:ind w:left="0" w:leftChars="0" w:firstLineChars="200"/>
        <w:rPr>
          <w:rFonts w:ascii="宋体" w:hAnsi="宋体" w:eastAsia="宋体"/>
        </w:rPr>
      </w:pPr>
      <w:r>
        <w:rPr>
          <w:rFonts w:hint="eastAsia" w:ascii="宋体" w:hAnsi="宋体" w:eastAsia="宋体"/>
        </w:rPr>
        <w:t>1、电缆线路:路径长8370米。新建线路:路径长8370米，其中YJV22-8.7/15kV-3× 240mm2电缆8370米。</w:t>
      </w:r>
    </w:p>
    <w:p>
      <w:pPr>
        <w:pStyle w:val="9"/>
        <w:spacing w:line="360" w:lineRule="auto"/>
        <w:ind w:left="0" w:leftChars="0" w:firstLineChars="200"/>
        <w:rPr>
          <w:rFonts w:ascii="宋体" w:hAnsi="宋体" w:eastAsia="宋体"/>
        </w:rPr>
      </w:pPr>
      <w:r>
        <w:rPr>
          <w:rFonts w:hint="eastAsia" w:ascii="宋体" w:hAnsi="宋体" w:eastAsia="宋体"/>
        </w:rPr>
        <w:t>2、新建检查井24座，新建中间头井20座，新建转角井5座;</w:t>
      </w:r>
    </w:p>
    <w:p>
      <w:pPr>
        <w:pStyle w:val="9"/>
        <w:spacing w:line="360" w:lineRule="auto"/>
        <w:ind w:left="0" w:leftChars="0" w:firstLineChars="200"/>
        <w:rPr>
          <w:rFonts w:ascii="宋体" w:hAnsi="宋体" w:eastAsia="宋体"/>
        </w:rPr>
      </w:pPr>
      <w:r>
        <w:rPr>
          <w:rFonts w:hint="eastAsia" w:ascii="宋体" w:hAnsi="宋体" w:eastAsia="宋体"/>
        </w:rPr>
        <w:t>3、新建单根电缆穿保护管直埋敷设8270米，(顶1孔管)120米。电缆保护管顶管采用MPP-d 160管，直埋敷设采用MPP-160。新制作3× 240mm2电缆中间接头20套，3×240mm2电缆终端头⒉套;其中有6894米开挖在桉树林上。</w:t>
      </w:r>
    </w:p>
    <w:p>
      <w:pPr>
        <w:pStyle w:val="9"/>
        <w:spacing w:line="360" w:lineRule="auto"/>
        <w:ind w:left="0" w:leftChars="0" w:firstLineChars="200"/>
        <w:rPr>
          <w:rFonts w:ascii="宋体" w:hAnsi="宋体" w:eastAsia="宋体"/>
        </w:rPr>
      </w:pPr>
      <w:r>
        <w:rPr>
          <w:rFonts w:hint="eastAsia" w:ascii="宋体" w:hAnsi="宋体" w:eastAsia="宋体"/>
        </w:rPr>
        <w:t>4、新建二进三出环网柜1台，新建环网柜基础一座，接地网1组。</w:t>
      </w:r>
    </w:p>
    <w:p>
      <w:pPr>
        <w:pStyle w:val="9"/>
        <w:spacing w:line="360" w:lineRule="auto"/>
        <w:ind w:left="0" w:leftChars="0" w:firstLineChars="200"/>
        <w:rPr>
          <w:rFonts w:ascii="宋体" w:hAnsi="宋体" w:eastAsia="宋体"/>
        </w:rPr>
      </w:pPr>
      <w:r>
        <w:rPr>
          <w:rFonts w:hint="eastAsia" w:ascii="宋体" w:hAnsi="宋体" w:eastAsia="宋体"/>
        </w:rPr>
        <w:t>(二)儋州市雅星镇春江水厂配套电力工程（罗牛山儋州乐贺40万头生态养殖基地)</w:t>
      </w:r>
    </w:p>
    <w:p>
      <w:pPr>
        <w:pStyle w:val="9"/>
        <w:spacing w:line="360" w:lineRule="auto"/>
        <w:ind w:left="0" w:leftChars="0" w:firstLineChars="200"/>
        <w:rPr>
          <w:rFonts w:ascii="宋体" w:hAnsi="宋体" w:eastAsia="宋体"/>
        </w:rPr>
      </w:pPr>
      <w:r>
        <w:rPr>
          <w:rFonts w:hint="eastAsia" w:ascii="宋体" w:hAnsi="宋体" w:eastAsia="宋体"/>
        </w:rPr>
        <w:t>1、电缆线路:路径长4955米。新建线路:路径长4955米，其中ZRC-YJV22-8.7/15kV-3 × 500mm2电缆400米，YJV22-8.7/15kV-3 x500mm2电缆4555米。</w:t>
      </w:r>
    </w:p>
    <w:p>
      <w:pPr>
        <w:pStyle w:val="9"/>
        <w:spacing w:line="360" w:lineRule="auto"/>
        <w:ind w:left="0" w:leftChars="0" w:firstLineChars="200"/>
        <w:rPr>
          <w:rFonts w:ascii="宋体" w:hAnsi="宋体" w:eastAsia="宋体"/>
        </w:rPr>
      </w:pPr>
      <w:r>
        <w:rPr>
          <w:rFonts w:hint="eastAsia" w:ascii="宋体" w:hAnsi="宋体" w:eastAsia="宋体"/>
        </w:rPr>
        <w:t>2、新建检查井15座，新建中间头井12座，新建转角井6座;</w:t>
      </w:r>
    </w:p>
    <w:p>
      <w:pPr>
        <w:pStyle w:val="9"/>
        <w:spacing w:line="360" w:lineRule="auto"/>
        <w:ind w:left="0" w:leftChars="0" w:firstLineChars="200"/>
        <w:rPr>
          <w:rFonts w:ascii="宋体" w:hAnsi="宋体" w:eastAsia="宋体"/>
        </w:rPr>
      </w:pPr>
      <w:r>
        <w:rPr>
          <w:rFonts w:hint="eastAsia" w:ascii="宋体" w:hAnsi="宋体" w:eastAsia="宋体"/>
        </w:rPr>
        <w:t>3、新建单根电缆穿保护管直埋敷设4785米，(顶3孔管)）60米，沿原有电缆沟敷设110米。破（恢复）水泥路面19米。电缆保护管顶管采用MPP-p200 管,穿管敷设采用MPP-d 200。新制作3x500mm2电缆中间接头12套，3×5 00mm2电缆终端头⒉套;其中有3855米开挖在桉树林上，跨越高铁1次。</w:t>
      </w:r>
    </w:p>
    <w:p>
      <w:pPr>
        <w:pStyle w:val="9"/>
        <w:spacing w:line="360" w:lineRule="auto"/>
        <w:ind w:left="0" w:leftChars="0" w:firstLineChars="200"/>
        <w:rPr>
          <w:rFonts w:ascii="宋体" w:hAnsi="宋体" w:eastAsia="宋体"/>
        </w:rPr>
      </w:pPr>
      <w:r>
        <w:rPr>
          <w:rFonts w:hint="eastAsia" w:ascii="宋体" w:hAnsi="宋体" w:eastAsia="宋体"/>
        </w:rPr>
        <w:t>4、新建二进四出环网柜（带双计量)1台，新建环网柜基础一座，接地网1组，变电站10kV出线间隔1面。</w:t>
      </w:r>
    </w:p>
    <w:p>
      <w:pPr>
        <w:pStyle w:val="9"/>
        <w:spacing w:line="360" w:lineRule="auto"/>
        <w:ind w:left="0" w:leftChars="0" w:firstLineChars="200"/>
        <w:rPr>
          <w:rFonts w:ascii="宋体" w:hAnsi="宋体" w:eastAsia="宋体"/>
        </w:rPr>
      </w:pPr>
      <w:r>
        <w:rPr>
          <w:rFonts w:hint="eastAsia" w:ascii="宋体" w:hAnsi="宋体" w:eastAsia="宋体"/>
        </w:rPr>
        <w:t>(三）儋州市雅星镇春江水厂配套电力工程（罗牛山儋州乐满20万头生态养殖基地项目)</w:t>
      </w:r>
    </w:p>
    <w:p>
      <w:pPr>
        <w:pStyle w:val="9"/>
        <w:spacing w:line="360" w:lineRule="auto"/>
        <w:ind w:left="0" w:leftChars="0" w:firstLineChars="200"/>
        <w:rPr>
          <w:rFonts w:ascii="宋体" w:hAnsi="宋体" w:eastAsia="宋体"/>
        </w:rPr>
      </w:pPr>
      <w:r>
        <w:rPr>
          <w:rFonts w:hint="eastAsia" w:ascii="宋体" w:hAnsi="宋体" w:eastAsia="宋体"/>
        </w:rPr>
        <w:t>1、电缆线路:路径长600米。新建线路:路径长600米，其中YJV22-8.7/15kV-3× 240mm2电缆600米。</w:t>
      </w:r>
    </w:p>
    <w:p>
      <w:pPr>
        <w:pStyle w:val="9"/>
        <w:spacing w:line="360" w:lineRule="auto"/>
        <w:ind w:left="0" w:leftChars="0" w:firstLineChars="200"/>
        <w:rPr>
          <w:rFonts w:ascii="宋体" w:hAnsi="宋体" w:eastAsia="宋体"/>
        </w:rPr>
      </w:pPr>
      <w:r>
        <w:rPr>
          <w:rFonts w:hint="eastAsia" w:ascii="宋体" w:hAnsi="宋体" w:eastAsia="宋体"/>
        </w:rPr>
        <w:t>2、新建检查井3座，新建中间头井1座;</w:t>
      </w:r>
    </w:p>
    <w:p>
      <w:pPr>
        <w:pStyle w:val="9"/>
        <w:spacing w:line="360" w:lineRule="auto"/>
        <w:ind w:left="0" w:leftChars="0" w:firstLineChars="200"/>
        <w:rPr>
          <w:rFonts w:ascii="宋体" w:hAnsi="宋体" w:eastAsia="宋体"/>
        </w:rPr>
      </w:pPr>
      <w:r>
        <w:rPr>
          <w:rFonts w:hint="eastAsia" w:ascii="宋体" w:hAnsi="宋体" w:eastAsia="宋体"/>
        </w:rPr>
        <w:t>3、新建单根电缆穿保护管直埋敷设600米。电缆保护管采用MPP-$ 160管。新制作3×240mm2电缆中间接头1套，3 × 240mm2电缆终端头⒉套;其中有280米开挖在桉树林上。</w:t>
      </w:r>
    </w:p>
    <w:p>
      <w:pPr>
        <w:pStyle w:val="9"/>
        <w:spacing w:line="360" w:lineRule="auto"/>
        <w:ind w:left="0" w:leftChars="0" w:firstLineChars="200"/>
        <w:rPr>
          <w:rFonts w:ascii="宋体" w:hAnsi="宋体" w:eastAsia="宋体"/>
        </w:rPr>
      </w:pPr>
      <w:r>
        <w:rPr>
          <w:rFonts w:hint="eastAsia" w:ascii="宋体" w:hAnsi="宋体" w:eastAsia="宋体"/>
        </w:rPr>
        <w:t>4、新建二进三出环网柜1台，新建环网柜基础一座，接地网1组。</w:t>
      </w:r>
    </w:p>
    <w:p>
      <w:pPr>
        <w:pStyle w:val="9"/>
        <w:spacing w:line="360" w:lineRule="auto"/>
        <w:ind w:left="0" w:leftChars="0" w:firstLineChars="200"/>
        <w:rPr>
          <w:rFonts w:ascii="宋体" w:hAnsi="宋体" w:eastAsia="宋体"/>
        </w:rPr>
      </w:pPr>
      <w:r>
        <w:rPr>
          <w:rFonts w:hint="eastAsia" w:ascii="宋体" w:hAnsi="宋体" w:eastAsia="宋体"/>
        </w:rPr>
        <w:t>5、新装隔离开关、避雷器、真空断路器各1组。</w:t>
      </w:r>
    </w:p>
    <w:p>
      <w:pPr>
        <w:pStyle w:val="9"/>
        <w:spacing w:line="360" w:lineRule="auto"/>
        <w:ind w:left="0" w:leftChars="0" w:firstLineChars="200"/>
        <w:rPr>
          <w:rFonts w:ascii="宋体" w:hAnsi="宋体" w:eastAsia="宋体"/>
        </w:rPr>
      </w:pPr>
      <w:r>
        <w:rPr>
          <w:rFonts w:hint="eastAsia" w:ascii="宋体" w:hAnsi="宋体" w:eastAsia="宋体"/>
        </w:rPr>
        <w:t>（四）儋州市儋州市雅星镇春江水厂</w:t>
      </w:r>
    </w:p>
    <w:p>
      <w:pPr>
        <w:pStyle w:val="9"/>
        <w:spacing w:line="360" w:lineRule="auto"/>
        <w:ind w:left="0" w:leftChars="0" w:firstLine="630" w:firstLineChars="300"/>
        <w:rPr>
          <w:rFonts w:ascii="宋体" w:hAnsi="宋体" w:eastAsia="宋体"/>
        </w:rPr>
      </w:pPr>
      <w:r>
        <w:rPr>
          <w:rFonts w:hint="eastAsia" w:ascii="宋体" w:hAnsi="宋体" w:eastAsia="宋体"/>
        </w:rPr>
        <w:t>1.取水工程:新建1座取水泵房﹐取水规模按1.76万m</w:t>
      </w:r>
      <w:r>
        <w:rPr>
          <w:rFonts w:hint="eastAsia" w:ascii="宋体" w:hAnsi="宋体" w:eastAsia="宋体"/>
          <w:vertAlign w:val="superscript"/>
        </w:rPr>
        <w:t>3</w:t>
      </w:r>
      <w:r>
        <w:rPr>
          <w:rFonts w:hint="eastAsia" w:ascii="宋体" w:hAnsi="宋体" w:eastAsia="宋体"/>
        </w:rPr>
        <w:t>/d建设(不含泵房土建及引水管)。</w:t>
      </w:r>
    </w:p>
    <w:p>
      <w:pPr>
        <w:pStyle w:val="9"/>
        <w:spacing w:line="360" w:lineRule="auto"/>
        <w:ind w:left="0" w:leftChars="0" w:firstLine="630" w:firstLineChars="300"/>
        <w:rPr>
          <w:rFonts w:ascii="宋体" w:hAnsi="宋体" w:eastAsia="宋体"/>
        </w:rPr>
      </w:pPr>
      <w:r>
        <w:rPr>
          <w:rFonts w:hint="eastAsia" w:ascii="宋体" w:hAnsi="宋体" w:eastAsia="宋体"/>
        </w:rPr>
        <w:t>2.输水管道工程:新建2根 D480×9焊接钢管，单根管道长度为8000m。</w:t>
      </w:r>
    </w:p>
    <w:p>
      <w:pPr>
        <w:pStyle w:val="9"/>
        <w:spacing w:line="360" w:lineRule="auto"/>
        <w:ind w:left="0" w:leftChars="0" w:firstLine="630" w:firstLineChars="300"/>
        <w:rPr>
          <w:rFonts w:ascii="宋体" w:hAnsi="宋体" w:eastAsia="宋体"/>
        </w:rPr>
      </w:pPr>
      <w:r>
        <w:rPr>
          <w:rFonts w:hint="eastAsia" w:ascii="宋体" w:hAnsi="宋体" w:eastAsia="宋体"/>
        </w:rPr>
        <w:t>3.净水厂工程:新建1座净水厂，净水规模按1.6 万m</w:t>
      </w:r>
      <w:r>
        <w:rPr>
          <w:rFonts w:hint="eastAsia" w:ascii="宋体" w:hAnsi="宋体" w:eastAsia="宋体"/>
          <w:vertAlign w:val="superscript"/>
        </w:rPr>
        <w:t>3</w:t>
      </w:r>
      <w:r>
        <w:rPr>
          <w:rFonts w:hint="eastAsia" w:ascii="宋体" w:hAnsi="宋体" w:eastAsia="宋体"/>
        </w:rPr>
        <w:t>/d建设。</w:t>
      </w:r>
    </w:p>
    <w:p>
      <w:pPr>
        <w:pStyle w:val="9"/>
        <w:spacing w:line="360" w:lineRule="auto"/>
        <w:ind w:left="0" w:leftChars="0" w:firstLine="630" w:firstLineChars="300"/>
        <w:rPr>
          <w:rFonts w:ascii="宋体" w:hAnsi="宋体" w:eastAsia="宋体"/>
        </w:rPr>
      </w:pPr>
      <w:r>
        <w:rPr>
          <w:rFonts w:hint="eastAsia" w:ascii="宋体" w:hAnsi="宋体" w:eastAsia="宋体"/>
        </w:rPr>
        <w:t>4.配水管道工程:主要采用球墨铸铁管，局部过河段采用给水聚乙烯管，配水管道管径DN150-DN600,管道长度41.98km。</w:t>
      </w:r>
    </w:p>
    <w:p>
      <w:pPr>
        <w:pStyle w:val="9"/>
        <w:spacing w:line="360" w:lineRule="auto"/>
        <w:ind w:left="0" w:leftChars="0" w:firstLine="630" w:firstLineChars="300"/>
        <w:rPr>
          <w:rFonts w:ascii="宋体" w:hAnsi="宋体" w:eastAsia="宋体"/>
        </w:rPr>
      </w:pPr>
      <w:r>
        <w:rPr>
          <w:rFonts w:hint="eastAsia" w:ascii="宋体" w:hAnsi="宋体" w:eastAsia="宋体"/>
        </w:rPr>
        <w:t>（五）儋州市雅星镇春江水厂配套道路工程</w:t>
      </w:r>
    </w:p>
    <w:p>
      <w:pPr>
        <w:pStyle w:val="9"/>
        <w:spacing w:line="360" w:lineRule="auto"/>
        <w:ind w:left="0" w:leftChars="0" w:firstLine="630" w:firstLineChars="300"/>
        <w:rPr>
          <w:rFonts w:ascii="宋体" w:hAnsi="宋体" w:eastAsia="宋体"/>
        </w:rPr>
      </w:pPr>
      <w:r>
        <w:rPr>
          <w:rFonts w:hint="eastAsia" w:ascii="宋体" w:hAnsi="宋体" w:eastAsia="宋体"/>
        </w:rPr>
        <w:t>路线全长约14.205km，共5条道路，建设内容包括路基、路面、桥涵、路线交叉、交通工程及沿线设施等工程。其中:拓宽道路A线全长6846.894m，路面宽度为6.0m;新建道路B线全长2261.102m、道路C线全长513.419m、道路D线全长955.222m、道路E线全长3628.951m，路面宽度均为4.5m。</w:t>
      </w:r>
    </w:p>
    <w:p>
      <w:pPr>
        <w:spacing w:line="360" w:lineRule="auto"/>
        <w:ind w:firstLine="420" w:firstLineChars="200"/>
        <w:rPr>
          <w:rFonts w:ascii="宋体" w:hAnsi="宋体" w:eastAsia="宋体"/>
        </w:rPr>
      </w:pPr>
      <w:r>
        <w:rPr>
          <w:rFonts w:hint="eastAsia" w:ascii="宋体" w:hAnsi="宋体" w:eastAsia="宋体"/>
        </w:rPr>
        <w:t>项目进展情况：总体完成98%。1.取水工程：累计完成97%；2.输水管道工程：管道安装完成14418m，累计完成99%；3.净水厂工程：综合累计完成99%；4.配水管道工程：管道安装34100m，累计完成99%。1.罗牛山儋州大讲20万头生态养殖基地开挖电缆沟5000米，敷设电缆保护管5000米，完成电缆井20座。2.罗牛山儋州乐贺40万头生态养殖基地开挖电缆沟5000米，敷设电缆保护管5000米。安装高压出线柜（间隔）1台，完成电缆井31座，环网柜基础已完成。3.罗牛山儋州乐满20万头生态养殖基地已完工送电。总体完成68%。配套道路工程已完工，下步进行验收。</w:t>
      </w:r>
    </w:p>
    <w:p>
      <w:pPr>
        <w:spacing w:line="360" w:lineRule="auto"/>
        <w:ind w:firstLine="420" w:firstLineChars="200"/>
        <w:rPr>
          <w:rFonts w:hint="eastAsia" w:ascii="宋体" w:hAnsi="宋体" w:eastAsia="宋体"/>
        </w:rPr>
      </w:pPr>
      <w:r>
        <w:rPr>
          <w:rFonts w:hint="eastAsia" w:ascii="宋体" w:hAnsi="宋体" w:eastAsia="宋体"/>
        </w:rPr>
        <w:t>项目批复情况如下：</w:t>
      </w:r>
    </w:p>
    <w:p>
      <w:pPr>
        <w:spacing w:line="360" w:lineRule="auto"/>
        <w:ind w:firstLine="420" w:firstLineChars="200"/>
        <w:rPr>
          <w:rFonts w:hint="eastAsia" w:ascii="宋体" w:hAnsi="宋体" w:eastAsia="宋体"/>
        </w:rPr>
      </w:pPr>
    </w:p>
    <w:tbl>
      <w:tblPr>
        <w:tblStyle w:val="10"/>
        <w:tblW w:w="8610" w:type="dxa"/>
        <w:jc w:val="center"/>
        <w:tblLayout w:type="fixed"/>
        <w:tblCellMar>
          <w:top w:w="0" w:type="dxa"/>
          <w:left w:w="108" w:type="dxa"/>
          <w:bottom w:w="0" w:type="dxa"/>
          <w:right w:w="108" w:type="dxa"/>
        </w:tblCellMar>
      </w:tblPr>
      <w:tblGrid>
        <w:gridCol w:w="1689"/>
        <w:gridCol w:w="3531"/>
        <w:gridCol w:w="1557"/>
        <w:gridCol w:w="1833"/>
      </w:tblGrid>
      <w:tr>
        <w:tblPrEx>
          <w:tblCellMar>
            <w:top w:w="0" w:type="dxa"/>
            <w:left w:w="108" w:type="dxa"/>
            <w:bottom w:w="0" w:type="dxa"/>
            <w:right w:w="108" w:type="dxa"/>
          </w:tblCellMar>
        </w:tblPrEx>
        <w:trPr>
          <w:trHeight w:val="629"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儋州市发展和改革委员会关于儋州市雅星镇春江水厂供水工程可行性研究报告的批复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儋发改可研[2020]15号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2020年3月20日</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关于儋州市雅星镇春江水厂供水工程初步设计及概算的批复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儋发改概算[2020]51号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2020年6月16日</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儋州市发展和改革委员会关于儋州市雅星镇春江水厂配套电力工程初步设计和概算的批复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儋发改概算[2020]26号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2020年5月7日</w:t>
            </w:r>
          </w:p>
        </w:tc>
      </w:tr>
      <w:tr>
        <w:tblPrEx>
          <w:tblCellMar>
            <w:top w:w="0" w:type="dxa"/>
            <w:left w:w="108" w:type="dxa"/>
            <w:bottom w:w="0" w:type="dxa"/>
            <w:right w:w="108" w:type="dxa"/>
          </w:tblCellMar>
        </w:tblPrEx>
        <w:trPr>
          <w:trHeight w:val="766" w:hRule="atLeast"/>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op w:val="single" w:color="auto" w:sz="4" w:space="0"/>
              <w:left w:val="nil"/>
              <w:bottom w:val="single" w:color="auto" w:sz="4" w:space="0"/>
              <w:right w:val="single" w:color="auto" w:sz="4" w:space="0"/>
            </w:tcBorders>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儋州市发展和改革委员会关于儋州市雅星镇春江水厂配套道路工程初步设计和概算的批复</w:t>
            </w:r>
          </w:p>
        </w:tc>
        <w:tc>
          <w:tcPr>
            <w:tcW w:w="1557"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rPr>
                <w:rFonts w:ascii="宋体" w:hAnsi="宋体" w:eastAsia="宋体" w:cs="宋体"/>
                <w:color w:val="000000"/>
                <w:sz w:val="18"/>
                <w:szCs w:val="18"/>
              </w:rPr>
            </w:pPr>
            <w:r>
              <w:rPr>
                <w:rFonts w:hint="eastAsia" w:ascii="宋体" w:hAnsi="宋体" w:eastAsia="宋体" w:cs="宋体"/>
                <w:color w:val="000000"/>
                <w:sz w:val="18"/>
                <w:szCs w:val="18"/>
              </w:rPr>
              <w:t>儋发改概算[2020]27号</w:t>
            </w:r>
          </w:p>
        </w:tc>
        <w:tc>
          <w:tcPr>
            <w:tcW w:w="1833" w:type="dxa"/>
            <w:tcBorders>
              <w:top w:val="single" w:color="auto" w:sz="4" w:space="0"/>
              <w:left w:val="nil"/>
              <w:bottom w:val="single" w:color="auto" w:sz="4" w:space="0"/>
              <w:right w:val="single" w:color="auto" w:sz="4" w:space="0"/>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2020年5月7日</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项目建设的必要性及社会效益分析</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asciiTheme="minorEastAsia" w:hAnsiTheme="minorEastAsia" w:eastAsiaTheme="minorEastAsia"/>
          <w:szCs w:val="21"/>
        </w:rPr>
        <w:t>1、符合社会、经济均衡发展的战略目标</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道路是城市发展的重要基础设施，通过道路工程项目的建设，不仅可以加强区域经济、文化联系，同时也提高了儋州区域内居民的生活质量，改善了交通环境，为儋州的经济和文化发展奠定基础。</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、是进一步促进儋州市完善路网的需要</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道路基础设施的建设将进一步改善儋州市的交通现状，对交通路网的完善具有极为重要意义。</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、加快城市建设，提高城市化水平的需要</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本项目的建设不仅可以满足人口增加对城市交通基础设施的需求，同时也从硬件上加快了儋州市发展进程，扩大了城区人口规模和用地规模，增强了中心城市的内聚力和辐射力，创造一个投资者安心、放心、舒心的创业环境，真正把儋州市建设成为环境优美、生活舒适、人尽其才、物尽其用、地尽其利的适宜创业的城市。</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、满足日益增长的交通运输需求的需要</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综上所述，本项目是儋州市在新的形势下所做的一项基础性工程，具有十分重要的发展战略意义。该项目建设是适时的，也是亟需的。</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项目预期收益情况</w:t>
      </w:r>
    </w:p>
    <w:p>
      <w:pPr>
        <w:pStyle w:val="19"/>
        <w:numPr>
          <w:ilvl w:val="0"/>
          <w:numId w:val="3"/>
        </w:numPr>
        <w:tabs>
          <w:tab w:val="left" w:pos="993"/>
          <w:tab w:val="left" w:pos="1276"/>
        </w:tabs>
        <w:spacing w:before="156" w:beforeLines="50" w:after="156" w:afterLines="50" w:line="360" w:lineRule="auto"/>
        <w:ind w:firstLineChars="0"/>
        <w:outlineLvl w:val="0"/>
        <w:rPr>
          <w:rFonts w:ascii="宋体" w:hAnsi="宋体" w:eastAsia="宋体"/>
          <w:b/>
          <w:szCs w:val="21"/>
        </w:rPr>
      </w:pPr>
      <w:r>
        <w:rPr>
          <w:rFonts w:hint="eastAsia" w:ascii="宋体" w:hAnsi="宋体" w:eastAsia="宋体"/>
          <w:b/>
          <w:szCs w:val="21"/>
        </w:rPr>
        <w:t>项目运营收益</w:t>
      </w:r>
    </w:p>
    <w:p>
      <w:pPr>
        <w:pStyle w:val="19"/>
        <w:tabs>
          <w:tab w:val="left" w:pos="993"/>
          <w:tab w:val="left" w:pos="1276"/>
        </w:tabs>
        <w:spacing w:before="156" w:beforeLines="50" w:after="156" w:afterLines="50" w:line="360" w:lineRule="auto"/>
        <w:rPr>
          <w:rFonts w:ascii="宋体" w:hAnsi="宋体" w:eastAsia="宋体"/>
          <w:szCs w:val="21"/>
        </w:rPr>
      </w:pPr>
      <w:r>
        <w:rPr>
          <w:rFonts w:ascii="宋体" w:hAnsi="宋体" w:eastAsia="宋体"/>
          <w:szCs w:val="21"/>
        </w:rPr>
        <w:t>1、运营收入</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本项目运营收入来源为雅星镇生态养殖产业基地配套基础设施建设项目建成后的净水厂运营收入。</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w:t>
      </w:r>
      <w:r>
        <w:rPr>
          <w:rFonts w:ascii="宋体" w:hAnsi="宋体" w:eastAsia="宋体"/>
          <w:szCs w:val="21"/>
        </w:rPr>
        <w:t>1）单价</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依据华诚博远工程咨询有限公司出具的儋州市</w:t>
      </w:r>
      <w:r>
        <w:rPr>
          <w:rFonts w:ascii="宋体" w:hAnsi="宋体" w:eastAsia="宋体"/>
          <w:szCs w:val="21"/>
        </w:rPr>
        <w:t>雅星镇</w:t>
      </w:r>
      <w:r>
        <w:rPr>
          <w:rFonts w:hint="eastAsia" w:ascii="宋体" w:hAnsi="宋体" w:eastAsia="宋体"/>
          <w:szCs w:val="21"/>
        </w:rPr>
        <w:t>春江水厂供水工程可行性研究报告可知</w:t>
      </w:r>
      <w:r>
        <w:rPr>
          <w:rFonts w:ascii="宋体" w:hAnsi="宋体" w:eastAsia="宋体"/>
          <w:szCs w:val="21"/>
        </w:rPr>
        <w:t>，</w:t>
      </w:r>
      <w:r>
        <w:rPr>
          <w:rFonts w:hint="eastAsia" w:ascii="宋体" w:hAnsi="宋体" w:eastAsia="宋体"/>
          <w:szCs w:val="21"/>
        </w:rPr>
        <w:t>居民综合水价为</w:t>
      </w:r>
      <w:r>
        <w:rPr>
          <w:rFonts w:ascii="宋体" w:hAnsi="宋体" w:eastAsia="宋体"/>
          <w:szCs w:val="21"/>
        </w:rPr>
        <w:t>1.9元/吨。</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w:t>
      </w:r>
      <w:r>
        <w:rPr>
          <w:rFonts w:ascii="宋体" w:hAnsi="宋体" w:eastAsia="宋体"/>
          <w:szCs w:val="21"/>
        </w:rPr>
        <w:t>2）处理量</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依据初步设计及概算的批复，净水厂处理规模为1.6</w:t>
      </w:r>
      <w:r>
        <w:rPr>
          <w:rFonts w:ascii="宋体" w:hAnsi="宋体" w:eastAsia="宋体"/>
          <w:szCs w:val="21"/>
        </w:rPr>
        <w:t>万m³/d，假设2023年负荷率为</w:t>
      </w:r>
      <w:r>
        <w:rPr>
          <w:rFonts w:hint="eastAsia" w:ascii="宋体" w:hAnsi="宋体" w:eastAsia="宋体"/>
          <w:szCs w:val="21"/>
        </w:rPr>
        <w:t>75</w:t>
      </w:r>
      <w:r>
        <w:rPr>
          <w:rFonts w:ascii="宋体" w:hAnsi="宋体" w:eastAsia="宋体"/>
          <w:szCs w:val="21"/>
        </w:rPr>
        <w:t>%，从2024年开始负荷率为</w:t>
      </w:r>
      <w:r>
        <w:rPr>
          <w:rFonts w:hint="eastAsia" w:ascii="宋体" w:hAnsi="宋体" w:eastAsia="宋体"/>
          <w:szCs w:val="21"/>
        </w:rPr>
        <w:t>100</w:t>
      </w:r>
      <w:r>
        <w:rPr>
          <w:rFonts w:ascii="宋体" w:hAnsi="宋体" w:eastAsia="宋体"/>
          <w:szCs w:val="21"/>
        </w:rPr>
        <w:t>%。</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w:t>
      </w:r>
      <w:r>
        <w:rPr>
          <w:rFonts w:ascii="宋体" w:hAnsi="宋体" w:eastAsia="宋体"/>
          <w:szCs w:val="21"/>
        </w:rPr>
        <w:t>3）预测收入实现金额</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假设项目</w:t>
      </w:r>
      <w:r>
        <w:rPr>
          <w:rFonts w:ascii="宋体" w:hAnsi="宋体" w:eastAsia="宋体"/>
          <w:szCs w:val="21"/>
        </w:rPr>
        <w:t>2023年开始运营，则2023年度可实现收入金额为832.20万元。</w:t>
      </w:r>
    </w:p>
    <w:p>
      <w:pPr>
        <w:pStyle w:val="19"/>
        <w:tabs>
          <w:tab w:val="left" w:pos="993"/>
          <w:tab w:val="left" w:pos="1276"/>
        </w:tabs>
        <w:spacing w:before="156" w:beforeLines="50" w:after="156" w:afterLines="50" w:line="360" w:lineRule="auto"/>
        <w:rPr>
          <w:rFonts w:ascii="宋体" w:hAnsi="宋体" w:eastAsia="宋体"/>
          <w:szCs w:val="21"/>
        </w:rPr>
      </w:pPr>
      <w:r>
        <w:rPr>
          <w:rFonts w:ascii="宋体" w:hAnsi="宋体" w:eastAsia="宋体"/>
          <w:szCs w:val="21"/>
        </w:rPr>
        <w:t>2、运营成本</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w:t>
      </w:r>
      <w:r>
        <w:rPr>
          <w:rFonts w:ascii="宋体" w:hAnsi="宋体" w:eastAsia="宋体"/>
          <w:szCs w:val="21"/>
        </w:rPr>
        <w:t>1）单位运营成本</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依据华诚博远工程咨询有限公司出具的儋州市</w:t>
      </w:r>
      <w:r>
        <w:rPr>
          <w:rFonts w:ascii="宋体" w:hAnsi="宋体" w:eastAsia="宋体"/>
          <w:szCs w:val="21"/>
        </w:rPr>
        <w:t>雅星镇</w:t>
      </w:r>
      <w:r>
        <w:rPr>
          <w:rFonts w:hint="eastAsia" w:ascii="宋体" w:hAnsi="宋体" w:eastAsia="宋体"/>
          <w:szCs w:val="21"/>
        </w:rPr>
        <w:t>春江水厂供水工程可行性研究报告可知，净水厂单位平均经营成本为</w:t>
      </w:r>
      <w:r>
        <w:rPr>
          <w:rFonts w:ascii="宋体" w:hAnsi="宋体" w:eastAsia="宋体"/>
          <w:szCs w:val="21"/>
        </w:rPr>
        <w:t>0.</w:t>
      </w:r>
      <w:r>
        <w:rPr>
          <w:rFonts w:hint="eastAsia" w:ascii="宋体" w:hAnsi="宋体" w:eastAsia="宋体"/>
          <w:szCs w:val="21"/>
        </w:rPr>
        <w:t>89</w:t>
      </w:r>
      <w:r>
        <w:rPr>
          <w:rFonts w:ascii="宋体" w:hAnsi="宋体" w:eastAsia="宋体"/>
          <w:szCs w:val="21"/>
        </w:rPr>
        <w:t>元/吨。</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w:t>
      </w:r>
      <w:r>
        <w:rPr>
          <w:rFonts w:ascii="宋体" w:hAnsi="宋体" w:eastAsia="宋体"/>
          <w:szCs w:val="21"/>
        </w:rPr>
        <w:t>2）预测付现成本金额</w:t>
      </w:r>
    </w:p>
    <w:p>
      <w:pPr>
        <w:pStyle w:val="19"/>
        <w:tabs>
          <w:tab w:val="left" w:pos="993"/>
          <w:tab w:val="left" w:pos="1276"/>
        </w:tabs>
        <w:spacing w:before="156" w:beforeLines="50" w:after="156" w:afterLines="50" w:line="360" w:lineRule="auto"/>
        <w:ind w:firstLine="617" w:firstLineChars="294"/>
        <w:rPr>
          <w:rFonts w:ascii="宋体" w:hAnsi="宋体" w:eastAsia="宋体"/>
          <w:szCs w:val="21"/>
        </w:rPr>
      </w:pPr>
      <w:r>
        <w:rPr>
          <w:rFonts w:hint="eastAsia" w:ascii="宋体" w:hAnsi="宋体" w:eastAsia="宋体"/>
          <w:szCs w:val="21"/>
        </w:rPr>
        <w:t>假设项目</w:t>
      </w:r>
      <w:r>
        <w:rPr>
          <w:rFonts w:ascii="宋体" w:hAnsi="宋体" w:eastAsia="宋体"/>
          <w:szCs w:val="21"/>
        </w:rPr>
        <w:t>2023年开始运营，则2023年度成本金额为389.82万元。</w:t>
      </w:r>
    </w:p>
    <w:p>
      <w:pPr>
        <w:pStyle w:val="19"/>
        <w:tabs>
          <w:tab w:val="left" w:pos="993"/>
          <w:tab w:val="left" w:pos="1276"/>
        </w:tabs>
        <w:spacing w:before="156" w:beforeLines="50" w:after="156" w:afterLines="50" w:line="360" w:lineRule="auto"/>
        <w:ind w:firstLine="617" w:firstLineChars="294"/>
        <w:rPr>
          <w:rFonts w:ascii="宋体" w:hAnsi="宋体" w:eastAsia="宋体"/>
          <w:szCs w:val="21"/>
        </w:rPr>
      </w:pPr>
      <w:r>
        <w:rPr>
          <w:rFonts w:hint="eastAsia" w:ascii="宋体" w:hAnsi="宋体" w:eastAsia="宋体"/>
          <w:szCs w:val="21"/>
        </w:rPr>
        <w:t>3、税费</w:t>
      </w:r>
    </w:p>
    <w:p>
      <w:pPr>
        <w:pStyle w:val="19"/>
        <w:tabs>
          <w:tab w:val="left" w:pos="993"/>
          <w:tab w:val="left" w:pos="1276"/>
        </w:tabs>
        <w:spacing w:before="156" w:beforeLines="50" w:after="156" w:afterLines="50" w:line="360" w:lineRule="auto"/>
        <w:ind w:firstLine="617" w:firstLineChars="294"/>
        <w:rPr>
          <w:rFonts w:ascii="宋体" w:hAnsi="宋体" w:eastAsia="宋体"/>
          <w:szCs w:val="21"/>
        </w:rPr>
      </w:pPr>
      <w:r>
        <w:rPr>
          <w:rFonts w:hint="eastAsia" w:ascii="宋体" w:hAnsi="宋体" w:eastAsia="宋体"/>
          <w:szCs w:val="21"/>
        </w:rPr>
        <w:t>预计增值税为</w:t>
      </w:r>
      <w:r>
        <w:rPr>
          <w:rFonts w:ascii="宋体" w:hAnsi="宋体" w:eastAsia="宋体"/>
          <w:szCs w:val="21"/>
        </w:rPr>
        <w:t>3%，城建税为7%，教育费及附加为5</w:t>
      </w:r>
      <w:r>
        <w:rPr>
          <w:rFonts w:hint="eastAsia" w:ascii="宋体" w:hAnsi="宋体" w:eastAsia="宋体"/>
          <w:szCs w:val="21"/>
        </w:rPr>
        <w:t>%。</w:t>
      </w:r>
    </w:p>
    <w:p>
      <w:pPr>
        <w:pStyle w:val="19"/>
        <w:numPr>
          <w:ilvl w:val="0"/>
          <w:numId w:val="3"/>
        </w:numPr>
        <w:tabs>
          <w:tab w:val="left" w:pos="993"/>
          <w:tab w:val="left" w:pos="1276"/>
        </w:tabs>
        <w:spacing w:before="156" w:beforeLines="50" w:after="156" w:afterLines="50" w:line="360" w:lineRule="auto"/>
        <w:ind w:firstLineChars="0"/>
        <w:outlineLvl w:val="0"/>
        <w:rPr>
          <w:rFonts w:ascii="宋体" w:hAnsi="宋体" w:eastAsia="宋体"/>
          <w:b/>
          <w:szCs w:val="21"/>
        </w:rPr>
      </w:pPr>
      <w:r>
        <w:rPr>
          <w:rFonts w:hint="eastAsia" w:ascii="宋体" w:hAnsi="宋体" w:eastAsia="宋体"/>
          <w:b/>
          <w:szCs w:val="21"/>
        </w:rPr>
        <w:t>土地出让收益</w:t>
      </w:r>
    </w:p>
    <w:p>
      <w:pPr>
        <w:pStyle w:val="19"/>
        <w:tabs>
          <w:tab w:val="left" w:pos="993"/>
          <w:tab w:val="left" w:pos="1276"/>
        </w:tabs>
        <w:spacing w:before="156" w:beforeLines="50" w:after="156" w:afterLines="50" w:line="360" w:lineRule="auto"/>
        <w:ind w:firstLineChars="0"/>
        <w:rPr>
          <w:rFonts w:ascii="宋体" w:hAnsi="宋体" w:eastAsia="宋体"/>
          <w:szCs w:val="21"/>
        </w:rPr>
      </w:pPr>
      <w:r>
        <w:rPr>
          <w:rFonts w:hint="eastAsia" w:ascii="宋体" w:hAnsi="宋体" w:eastAsia="宋体"/>
          <w:szCs w:val="21"/>
        </w:rPr>
        <w:t>参照儋州市自然资源和规划局公示的城镇住宅用地相关土地成交金额、工业用地和商业服务用地成交金额：海南省自然资源和规划局公示的儋自然资公告【</w:t>
      </w:r>
      <w:r>
        <w:rPr>
          <w:rFonts w:ascii="宋体" w:hAnsi="宋体" w:eastAsia="宋体"/>
          <w:szCs w:val="21"/>
        </w:rPr>
        <w:t>2020】2号公示的工业用地成交价格约为26.33万元/亩、【2021】E-02-09号公示的城镇住宅用地成交价格约为448万元/亩、【2020】13号公示的商务金融用地成交价格约为400.33万元/亩等土地成交价格，并按5%逐年增长。</w:t>
      </w:r>
    </w:p>
    <w:p>
      <w:pPr>
        <w:pStyle w:val="19"/>
        <w:tabs>
          <w:tab w:val="left" w:pos="993"/>
          <w:tab w:val="left" w:pos="1276"/>
        </w:tabs>
        <w:spacing w:before="156" w:beforeLines="50" w:after="156" w:afterLines="50" w:line="360" w:lineRule="auto"/>
        <w:rPr>
          <w:rFonts w:ascii="宋体" w:hAnsi="宋体" w:eastAsia="宋体"/>
          <w:szCs w:val="21"/>
        </w:rPr>
      </w:pPr>
      <w:r>
        <w:rPr>
          <w:rFonts w:hint="eastAsia" w:ascii="宋体" w:hAnsi="宋体" w:eastAsia="宋体"/>
          <w:szCs w:val="21"/>
        </w:rPr>
        <w:t>1、土地出让时点及预计价格</w:t>
      </w:r>
    </w:p>
    <w:tbl>
      <w:tblPr>
        <w:tblStyle w:val="10"/>
        <w:tblW w:w="9842" w:type="dxa"/>
        <w:tblInd w:w="-459" w:type="dxa"/>
        <w:tblLayout w:type="autofit"/>
        <w:tblCellMar>
          <w:top w:w="0" w:type="dxa"/>
          <w:left w:w="108" w:type="dxa"/>
          <w:bottom w:w="0" w:type="dxa"/>
          <w:right w:w="108" w:type="dxa"/>
        </w:tblCellMar>
      </w:tblPr>
      <w:tblGrid>
        <w:gridCol w:w="2835"/>
        <w:gridCol w:w="1985"/>
        <w:gridCol w:w="1298"/>
        <w:gridCol w:w="1390"/>
        <w:gridCol w:w="1251"/>
        <w:gridCol w:w="1083"/>
      </w:tblGrid>
      <w:tr>
        <w:tblPrEx>
          <w:tblCellMar>
            <w:top w:w="0" w:type="dxa"/>
            <w:left w:w="108" w:type="dxa"/>
            <w:bottom w:w="0" w:type="dxa"/>
            <w:right w:w="108" w:type="dxa"/>
          </w:tblCellMar>
        </w:tblPrEx>
        <w:trPr>
          <w:trHeight w:val="255" w:hRule="atLeast"/>
        </w:trPr>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项目名称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地块名称</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土地面积（㎡）</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单价（元/㎡）</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金额/万元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出让时间</w:t>
            </w:r>
          </w:p>
        </w:tc>
      </w:tr>
      <w:tr>
        <w:trPr>
          <w:trHeight w:val="255" w:hRule="atLeast"/>
        </w:trPr>
        <w:tc>
          <w:tcPr>
            <w:tcW w:w="2835" w:type="dxa"/>
            <w:vMerge w:val="restart"/>
            <w:tcBorders>
              <w:left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r>
              <w:rPr>
                <w:rFonts w:ascii="Times New Roman" w:hAnsi="Times New Roman" w:eastAsia="宋体"/>
                <w:sz w:val="18"/>
                <w:szCs w:val="18"/>
              </w:rPr>
              <w:t>上海师范大学附属儋州实验学校周边路网工程</w:t>
            </w:r>
          </w:p>
        </w:tc>
        <w:tc>
          <w:tcPr>
            <w:tcW w:w="198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博亚兹地块</w:t>
            </w:r>
          </w:p>
        </w:tc>
        <w:tc>
          <w:tcPr>
            <w:tcW w:w="1298"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3,333.33</w:t>
            </w:r>
          </w:p>
        </w:tc>
        <w:tc>
          <w:tcPr>
            <w:tcW w:w="1390"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7,779.20</w:t>
            </w:r>
          </w:p>
        </w:tc>
        <w:tc>
          <w:tcPr>
            <w:tcW w:w="125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2,593.07</w:t>
            </w:r>
          </w:p>
        </w:tc>
        <w:tc>
          <w:tcPr>
            <w:tcW w:w="1083"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2024年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sz w:val="18"/>
                <w:szCs w:val="18"/>
              </w:rPr>
            </w:pPr>
          </w:p>
        </w:tc>
        <w:tc>
          <w:tcPr>
            <w:tcW w:w="198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博亚兹地块</w:t>
            </w:r>
          </w:p>
        </w:tc>
        <w:tc>
          <w:tcPr>
            <w:tcW w:w="1298"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10,666.67</w:t>
            </w:r>
          </w:p>
        </w:tc>
        <w:tc>
          <w:tcPr>
            <w:tcW w:w="1390"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10,424.87</w:t>
            </w:r>
          </w:p>
        </w:tc>
        <w:tc>
          <w:tcPr>
            <w:tcW w:w="1251" w:type="dxa"/>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11,119.87</w:t>
            </w:r>
          </w:p>
        </w:tc>
        <w:tc>
          <w:tcPr>
            <w:tcW w:w="1083"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2030年</w:t>
            </w:r>
          </w:p>
        </w:tc>
      </w:tr>
      <w:tr>
        <w:tblPrEx>
          <w:tblCellMar>
            <w:top w:w="0" w:type="dxa"/>
            <w:left w:w="108" w:type="dxa"/>
            <w:bottom w:w="0" w:type="dxa"/>
            <w:right w:w="108" w:type="dxa"/>
          </w:tblCellMar>
        </w:tblPrEx>
        <w:trPr>
          <w:trHeight w:val="255" w:hRule="atLeast"/>
        </w:trPr>
        <w:tc>
          <w:tcPr>
            <w:tcW w:w="2835" w:type="dxa"/>
            <w:vMerge w:val="restart"/>
            <w:tcBorders>
              <w:left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儋州市滨海新区基础设施建设工程（三期）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光村镇——西环高铁光村站</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6,000.00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8,168.16</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4,900.90</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2025年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光村镇——西环高铁光村站</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6,666.67</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11,493.42</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7,662.28</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2032年</w:t>
            </w:r>
          </w:p>
        </w:tc>
      </w:tr>
      <w:tr>
        <w:trPr>
          <w:trHeight w:val="255" w:hRule="atLeast"/>
        </w:trPr>
        <w:tc>
          <w:tcPr>
            <w:tcW w:w="2835" w:type="dxa"/>
            <w:vMerge w:val="restart"/>
            <w:tcBorders>
              <w:left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儋州市滨海新区中央大道</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光村镇——西环高铁光村站</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1,333.33</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8,168.16</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1,089.09</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2025年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光村镇——西环高铁光村站</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5,333.33</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9,928.45</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5,295.17</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2029年</w:t>
            </w:r>
          </w:p>
        </w:tc>
      </w:tr>
      <w:tr>
        <w:tblPrEx>
          <w:tblCellMar>
            <w:top w:w="0" w:type="dxa"/>
            <w:left w:w="108" w:type="dxa"/>
            <w:bottom w:w="0" w:type="dxa"/>
            <w:right w:w="108" w:type="dxa"/>
          </w:tblCellMar>
        </w:tblPrEx>
        <w:trPr>
          <w:trHeight w:val="255" w:hRule="atLeast"/>
        </w:trPr>
        <w:tc>
          <w:tcPr>
            <w:tcW w:w="2835" w:type="dxa"/>
            <w:vMerge w:val="restart"/>
            <w:tcBorders>
              <w:left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儋州市滨海新区基础设施建设工程（二期）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2,000.00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8,168.16</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1,633.63</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2025年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6,000.00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11,493.42</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6,896.05</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2032年</w:t>
            </w:r>
          </w:p>
        </w:tc>
      </w:tr>
      <w:tr>
        <w:tblPrEx>
          <w:tblCellMar>
            <w:top w:w="0" w:type="dxa"/>
            <w:left w:w="108" w:type="dxa"/>
            <w:bottom w:w="0" w:type="dxa"/>
            <w:right w:w="108" w:type="dxa"/>
          </w:tblCellMar>
        </w:tblPrEx>
        <w:trPr>
          <w:trHeight w:val="255" w:hRule="atLeast"/>
        </w:trPr>
        <w:tc>
          <w:tcPr>
            <w:tcW w:w="2835" w:type="dxa"/>
            <w:vMerge w:val="restart"/>
            <w:tcBorders>
              <w:left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r>
              <w:rPr>
                <w:rFonts w:ascii="Times New Roman" w:hAnsi="Times New Roman" w:eastAsia="宋体"/>
                <w:sz w:val="18"/>
                <w:szCs w:val="18"/>
              </w:rPr>
              <w:t>海南省儋州市中和镇历史文化名镇街道立面改造及配套工程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兴源电子厂</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38,640.00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435.43</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1,682.50</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2023年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6,666.67</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10,946.12</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7,297.41</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2031年</w:t>
            </w:r>
          </w:p>
        </w:tc>
      </w:tr>
      <w:tr>
        <w:tblPrEx>
          <w:tblCellMar>
            <w:top w:w="0" w:type="dxa"/>
            <w:left w:w="108" w:type="dxa"/>
            <w:bottom w:w="0" w:type="dxa"/>
            <w:right w:w="108" w:type="dxa"/>
          </w:tblCellMar>
        </w:tblPrEx>
        <w:trPr>
          <w:trHeight w:val="255" w:hRule="atLeast"/>
        </w:trPr>
        <w:tc>
          <w:tcPr>
            <w:tcW w:w="2835" w:type="dxa"/>
            <w:vMerge w:val="restart"/>
            <w:tcBorders>
              <w:top w:val="single" w:color="auto" w:sz="4" w:space="0"/>
              <w:left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儋州市滨海未来社区（一期）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2,000.00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8,168.16</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1,633.63</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2025年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4,666.67</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11,493.42</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5,363.60</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2032年</w:t>
            </w:r>
          </w:p>
        </w:tc>
      </w:tr>
      <w:tr>
        <w:tblPrEx>
          <w:tblCellMar>
            <w:top w:w="0" w:type="dxa"/>
            <w:left w:w="108" w:type="dxa"/>
            <w:bottom w:w="0" w:type="dxa"/>
            <w:right w:w="108" w:type="dxa"/>
          </w:tblCellMar>
        </w:tblPrEx>
        <w:trPr>
          <w:trHeight w:val="255" w:hRule="atLeast"/>
        </w:trPr>
        <w:tc>
          <w:tcPr>
            <w:tcW w:w="2835" w:type="dxa"/>
            <w:vMerge w:val="restart"/>
            <w:tcBorders>
              <w:top w:val="single" w:color="auto" w:sz="4" w:space="0"/>
              <w:left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r>
              <w:rPr>
                <w:rFonts w:ascii="Times New Roman" w:hAnsi="Times New Roman" w:eastAsia="宋体"/>
                <w:sz w:val="18"/>
                <w:szCs w:val="18"/>
              </w:rPr>
              <w:t>儋州市那大镇云月路消防站拆除重建工程</w:t>
            </w:r>
          </w:p>
          <w:p>
            <w:pPr>
              <w:rPr>
                <w:rFonts w:ascii="Times New Roman" w:hAnsi="Times New Roman" w:eastAsia="宋体"/>
                <w:color w:val="000000"/>
                <w:kern w:val="0"/>
                <w:sz w:val="18"/>
                <w:szCs w:val="18"/>
              </w:rPr>
            </w:pPr>
            <w:r>
              <w:rPr>
                <w:rFonts w:ascii="Times New Roman" w:hAnsi="Times New Roman" w:eastAsia="宋体"/>
                <w:sz w:val="18"/>
                <w:szCs w:val="18"/>
              </w:rPr>
              <w:t>儋州市那大镇云月路消防站拆除重建工程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2,000.00</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7,779.20</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1,555.84</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2024年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那大镇ND-4号地块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3,333.33</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9,928.45</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3,309.48</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2029年</w:t>
            </w:r>
          </w:p>
        </w:tc>
      </w:tr>
      <w:tr>
        <w:tblPrEx>
          <w:tblCellMar>
            <w:top w:w="0" w:type="dxa"/>
            <w:left w:w="108" w:type="dxa"/>
            <w:bottom w:w="0" w:type="dxa"/>
            <w:right w:w="108" w:type="dxa"/>
          </w:tblCellMar>
        </w:tblPrEx>
        <w:trPr>
          <w:trHeight w:val="255" w:hRule="atLeast"/>
        </w:trPr>
        <w:tc>
          <w:tcPr>
            <w:tcW w:w="2835" w:type="dxa"/>
            <w:vMerge w:val="restart"/>
            <w:tcBorders>
              <w:top w:val="single" w:color="auto" w:sz="4" w:space="0"/>
              <w:left w:val="single" w:color="auto" w:sz="4" w:space="0"/>
              <w:right w:val="single" w:color="auto" w:sz="4" w:space="0"/>
            </w:tcBorders>
            <w:shd w:val="clear" w:color="auto" w:fill="auto"/>
            <w:noWrap/>
            <w:vAlign w:val="center"/>
          </w:tcPr>
          <w:p>
            <w:pPr>
              <w:rPr>
                <w:rFonts w:ascii="Times New Roman" w:hAnsi="Times New Roman" w:eastAsia="宋体"/>
                <w:color w:val="000000"/>
                <w:kern w:val="0"/>
                <w:sz w:val="18"/>
                <w:szCs w:val="18"/>
              </w:rPr>
            </w:pPr>
            <w:r>
              <w:rPr>
                <w:rFonts w:ascii="Times New Roman" w:hAnsi="Times New Roman" w:eastAsia="宋体"/>
                <w:sz w:val="18"/>
                <w:szCs w:val="18"/>
              </w:rPr>
              <w:t>雅星镇生态养殖产业基地配套基础设施建设项目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博亚兹地块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9,333.33</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7,408.76</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6,914.85</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2023年</w:t>
            </w:r>
          </w:p>
        </w:tc>
      </w:tr>
      <w:tr>
        <w:tblPrEx>
          <w:tblCellMar>
            <w:top w:w="0" w:type="dxa"/>
            <w:left w:w="108" w:type="dxa"/>
            <w:bottom w:w="0" w:type="dxa"/>
            <w:right w:w="108" w:type="dxa"/>
          </w:tblCellMar>
        </w:tblPrEx>
        <w:trPr>
          <w:trHeight w:val="255" w:hRule="atLeast"/>
        </w:trPr>
        <w:tc>
          <w:tcPr>
            <w:tcW w:w="28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sz w:val="18"/>
                <w:szCs w:val="18"/>
              </w:rPr>
            </w:pPr>
            <w:r>
              <w:rPr>
                <w:rFonts w:ascii="Times New Roman" w:hAnsi="Times New Roman" w:eastAsia="宋体"/>
                <w:sz w:val="18"/>
                <w:szCs w:val="18"/>
              </w:rPr>
              <w:t>博亚兹地块</w:t>
            </w:r>
          </w:p>
        </w:tc>
        <w:tc>
          <w:tcPr>
            <w:tcW w:w="129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37,333.33</w:t>
            </w:r>
          </w:p>
        </w:tc>
        <w:tc>
          <w:tcPr>
            <w:tcW w:w="13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13,305.07</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sz w:val="18"/>
                <w:szCs w:val="18"/>
              </w:rPr>
            </w:pPr>
            <w:r>
              <w:rPr>
                <w:rFonts w:ascii="Times New Roman" w:hAnsi="Times New Roman"/>
                <w:sz w:val="18"/>
                <w:szCs w:val="18"/>
              </w:rPr>
              <w:t>49,672.28</w:t>
            </w:r>
          </w:p>
        </w:tc>
        <w:tc>
          <w:tcPr>
            <w:tcW w:w="108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2035年</w:t>
            </w:r>
          </w:p>
        </w:tc>
      </w:tr>
    </w:tbl>
    <w:p>
      <w:pPr>
        <w:pStyle w:val="19"/>
        <w:tabs>
          <w:tab w:val="left" w:pos="993"/>
          <w:tab w:val="left" w:pos="1276"/>
        </w:tabs>
        <w:spacing w:before="156" w:beforeLines="50" w:after="156" w:afterLines="50"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上缴或扣除的土地收益</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①</w:t>
      </w:r>
      <w:r>
        <w:rPr>
          <w:rFonts w:asciiTheme="minorEastAsia" w:hAnsiTheme="minorEastAsia" w:eastAsiaTheme="minorEastAsia"/>
          <w:szCs w:val="21"/>
        </w:rPr>
        <w:t>国有土地收益基金，以国有土地出让总价款为计算基数，扣除比例为3%。</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②</w:t>
      </w:r>
      <w:r>
        <w:rPr>
          <w:rFonts w:asciiTheme="minorEastAsia" w:hAnsiTheme="minorEastAsia" w:eastAsiaTheme="minorEastAsia"/>
          <w:szCs w:val="21"/>
        </w:rPr>
        <w:t>农业土地开发资金，以出让土地面积为基数，按</w:t>
      </w:r>
      <w:r>
        <w:rPr>
          <w:rFonts w:hint="eastAsia" w:asciiTheme="minorEastAsia" w:hAnsiTheme="minorEastAsia" w:eastAsiaTheme="minorEastAsia"/>
          <w:szCs w:val="21"/>
        </w:rPr>
        <w:t>41</w:t>
      </w:r>
      <w:r>
        <w:rPr>
          <w:rFonts w:asciiTheme="minorEastAsia" w:hAnsiTheme="minorEastAsia" w:eastAsiaTheme="minorEastAsia"/>
          <w:szCs w:val="21"/>
        </w:rPr>
        <w:t>元/㎡的20%计算。</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③</w:t>
      </w:r>
      <w:r>
        <w:rPr>
          <w:rFonts w:ascii="宋体" w:hAnsi="宋体" w:eastAsia="宋体"/>
          <w:szCs w:val="21"/>
        </w:rPr>
        <w:t>被征地</w:t>
      </w:r>
      <w:r>
        <w:rPr>
          <w:rFonts w:hint="eastAsia" w:ascii="宋体" w:hAnsi="宋体" w:eastAsia="宋体"/>
          <w:szCs w:val="21"/>
        </w:rPr>
        <w:t>农</w:t>
      </w:r>
      <w:r>
        <w:rPr>
          <w:rFonts w:ascii="宋体" w:hAnsi="宋体" w:eastAsia="宋体"/>
          <w:szCs w:val="21"/>
        </w:rPr>
        <w:t>民保障金，以土地出让收入扣除国有土地收益基金、农业土地开</w:t>
      </w:r>
      <w:r>
        <w:rPr>
          <w:rFonts w:hint="eastAsia" w:ascii="宋体" w:hAnsi="宋体" w:eastAsia="宋体"/>
          <w:szCs w:val="21"/>
        </w:rPr>
        <w:t>发资金后的余额为基数，计提比例为</w:t>
      </w:r>
      <w:r>
        <w:rPr>
          <w:rFonts w:ascii="宋体" w:hAnsi="宋体" w:eastAsia="宋体"/>
          <w:szCs w:val="21"/>
        </w:rPr>
        <w:t>5%</w:t>
      </w:r>
      <w:r>
        <w:rPr>
          <w:rFonts w:asciiTheme="minorEastAsia" w:hAnsiTheme="minorEastAsia" w:eastAsiaTheme="minorEastAsia"/>
          <w:szCs w:val="21"/>
        </w:rPr>
        <w:t>。</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④</w:t>
      </w:r>
      <w:r>
        <w:rPr>
          <w:rFonts w:asciiTheme="minorEastAsia" w:hAnsiTheme="minorEastAsia" w:eastAsiaTheme="minorEastAsia"/>
          <w:szCs w:val="21"/>
        </w:rPr>
        <w:t>上缴土地出让金，以土地出让收入扣除国有土地收益基金、农业土地开发资金后的余额为基数，上缴比例为10%。</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⑤</w:t>
      </w:r>
      <w:r>
        <w:rPr>
          <w:rFonts w:asciiTheme="minorEastAsia" w:hAnsiTheme="minorEastAsia" w:eastAsiaTheme="minorEastAsia"/>
          <w:szCs w:val="21"/>
        </w:rPr>
        <w:t>土地出让业务费，</w:t>
      </w:r>
      <w:r>
        <w:rPr>
          <w:rFonts w:hint="eastAsia" w:asciiTheme="minorEastAsia" w:hAnsiTheme="minorEastAsia" w:eastAsiaTheme="minorEastAsia"/>
          <w:szCs w:val="21"/>
        </w:rPr>
        <w:t>以土地出让收入扣除国有土地收益基金、农业土地开发资金、</w:t>
      </w:r>
      <w:r>
        <w:rPr>
          <w:rFonts w:asciiTheme="minorEastAsia" w:hAnsiTheme="minorEastAsia" w:eastAsiaTheme="minorEastAsia"/>
          <w:szCs w:val="21"/>
        </w:rPr>
        <w:t xml:space="preserve"> 被征地农民保障金、上缴土地出让金、土地成本后的余额为基数，计提比例为3%。</w:t>
      </w:r>
    </w:p>
    <w:p>
      <w:pPr>
        <w:pStyle w:val="19"/>
        <w:tabs>
          <w:tab w:val="left" w:pos="993"/>
          <w:tab w:val="left" w:pos="1276"/>
        </w:tabs>
        <w:spacing w:before="156" w:beforeLines="50" w:after="156" w:afterLines="50"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⑥</w:t>
      </w:r>
      <w:r>
        <w:rPr>
          <w:rFonts w:asciiTheme="minorEastAsia" w:hAnsiTheme="minorEastAsia" w:eastAsiaTheme="minorEastAsia"/>
          <w:szCs w:val="21"/>
        </w:rPr>
        <w:t>农田水利建设资金、教育资金、廉租住房保障金、征收补偿安置统筹基金，以土地出让收入扣除国有土地收益基金、农业土地开发资金、被征地农民保障金、上缴土地出让金、土地成本、土地出让业务费后的余额为基数，计提比例均为10%。</w:t>
      </w:r>
    </w:p>
    <w:p>
      <w:pPr>
        <w:pStyle w:val="19"/>
        <w:tabs>
          <w:tab w:val="left" w:pos="993"/>
          <w:tab w:val="left" w:pos="1276"/>
        </w:tabs>
        <w:spacing w:before="156" w:beforeLines="50" w:after="156" w:afterLines="50" w:line="360" w:lineRule="auto"/>
        <w:rPr>
          <w:rFonts w:ascii="宋体" w:hAnsi="宋体" w:eastAsia="宋体"/>
          <w:szCs w:val="21"/>
        </w:rPr>
      </w:pPr>
      <w:r>
        <w:rPr>
          <w:rFonts w:ascii="宋体" w:hAnsi="宋体" w:eastAsia="宋体"/>
          <w:szCs w:val="21"/>
        </w:rPr>
        <w:t>3、债券发行成本</w:t>
      </w:r>
    </w:p>
    <w:p>
      <w:pPr>
        <w:pStyle w:val="19"/>
        <w:tabs>
          <w:tab w:val="left" w:pos="993"/>
          <w:tab w:val="left" w:pos="1276"/>
        </w:tabs>
        <w:spacing w:before="156" w:beforeLines="50" w:after="156" w:afterLines="50" w:line="360" w:lineRule="auto"/>
        <w:ind w:firstLineChars="0"/>
        <w:rPr>
          <w:rFonts w:ascii="宋体" w:hAnsi="宋体" w:eastAsia="宋体"/>
          <w:szCs w:val="21"/>
        </w:rPr>
      </w:pPr>
      <w:r>
        <w:rPr>
          <w:rFonts w:hint="eastAsia" w:ascii="宋体" w:hAnsi="宋体" w:eastAsia="宋体"/>
          <w:szCs w:val="21"/>
        </w:rPr>
        <w:t>债券发行成本包括发行费及登记手续费，其中发行费为发行金额的</w:t>
      </w:r>
      <w:r>
        <w:rPr>
          <w:rFonts w:ascii="宋体" w:hAnsi="宋体" w:eastAsia="宋体"/>
          <w:szCs w:val="21"/>
        </w:rPr>
        <w:t>0.10%, 登记手续费为发行金额的0.01%。</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项目建设资金支出</w:t>
      </w:r>
    </w:p>
    <w:p>
      <w:pPr>
        <w:pStyle w:val="19"/>
        <w:spacing w:after="156" w:afterLines="50" w:line="360" w:lineRule="auto"/>
        <w:rPr>
          <w:rFonts w:ascii="宋体" w:hAnsi="宋体" w:eastAsia="宋体"/>
          <w:szCs w:val="21"/>
        </w:rPr>
      </w:pPr>
      <w:r>
        <w:rPr>
          <w:rFonts w:ascii="宋体" w:hAnsi="宋体" w:eastAsia="宋体"/>
          <w:szCs w:val="21"/>
        </w:rPr>
        <w:t>2022年儋州市基础设施专项债券（三期）项</w:t>
      </w:r>
      <w:r>
        <w:rPr>
          <w:rFonts w:hint="eastAsia" w:ascii="宋体" w:hAnsi="宋体" w:eastAsia="宋体"/>
          <w:szCs w:val="21"/>
        </w:rPr>
        <w:t>目本次投资估算总额约为</w:t>
      </w:r>
      <w:r>
        <w:rPr>
          <w:rFonts w:ascii="宋体" w:hAnsi="宋体" w:eastAsia="宋体"/>
          <w:szCs w:val="21"/>
        </w:rPr>
        <w:t>321,699.34万元</w:t>
      </w:r>
      <w:r>
        <w:rPr>
          <w:rFonts w:hint="eastAsia" w:ascii="宋体" w:hAnsi="宋体" w:eastAsia="宋体"/>
          <w:szCs w:val="21"/>
        </w:rPr>
        <w:t>。明细列示如下</w:t>
      </w:r>
      <w:r>
        <w:rPr>
          <w:rFonts w:hint="eastAsia" w:ascii="宋体" w:hAnsi="宋体" w:eastAsia="宋体" w:cs="宋体"/>
          <w:color w:val="000000"/>
          <w:kern w:val="0"/>
          <w:szCs w:val="21"/>
        </w:rPr>
        <w:t>（单位：万元）</w:t>
      </w:r>
      <w:r>
        <w:rPr>
          <w:rFonts w:hint="eastAsia" w:ascii="宋体" w:hAnsi="宋体" w:eastAsia="宋体"/>
          <w:szCs w:val="21"/>
        </w:rPr>
        <w:t>：</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1、上海师范大学附属儋州实验学校周边路网工程</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8,623.71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工程建设其他费用</w:t>
            </w:r>
          </w:p>
        </w:tc>
        <w:tc>
          <w:tcPr>
            <w:tcW w:w="2456" w:type="pct"/>
            <w:shd w:val="clear" w:color="auto" w:fill="auto"/>
            <w:noWrap/>
            <w:vAlign w:val="center"/>
          </w:tcPr>
          <w:p>
            <w:pPr>
              <w:jc w:val="right"/>
              <w:rPr>
                <w:rFonts w:ascii="Times New Roman" w:hAnsi="Times New Roman"/>
                <w:sz w:val="18"/>
                <w:szCs w:val="18"/>
              </w:rPr>
            </w:pPr>
            <w:r>
              <w:rPr>
                <w:rFonts w:hint="eastAsia" w:ascii="Times New Roman" w:hAnsi="Times New Roman"/>
                <w:sz w:val="18"/>
                <w:szCs w:val="18"/>
              </w:rPr>
              <w:t>3,183.58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预备费</w:t>
            </w:r>
          </w:p>
        </w:tc>
        <w:tc>
          <w:tcPr>
            <w:tcW w:w="2456" w:type="pct"/>
            <w:shd w:val="clear" w:color="auto" w:fill="auto"/>
            <w:noWrap/>
            <w:vAlign w:val="center"/>
          </w:tcPr>
          <w:p>
            <w:pPr>
              <w:jc w:val="right"/>
              <w:rPr>
                <w:rFonts w:ascii="Times New Roman" w:hAnsi="Times New Roman"/>
                <w:sz w:val="18"/>
                <w:szCs w:val="18"/>
              </w:rPr>
            </w:pPr>
            <w:r>
              <w:rPr>
                <w:rFonts w:hint="eastAsia" w:ascii="Times New Roman" w:hAnsi="Times New Roman"/>
                <w:sz w:val="18"/>
                <w:szCs w:val="18"/>
              </w:rPr>
              <w:t>772.36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cs="宋体" w:asciiTheme="minorEastAsia" w:hAnsiTheme="minorEastAsia" w:eastAsiaTheme="minorEastAsia"/>
                <w:b/>
                <w:bCs/>
                <w:sz w:val="18"/>
                <w:szCs w:val="18"/>
              </w:rPr>
            </w:pPr>
            <w:r>
              <w:rPr>
                <w:rFonts w:hint="eastAsia" w:cs="宋体" w:asciiTheme="minorEastAsia" w:hAnsiTheme="minorEastAsia" w:eastAsiaTheme="minorEastAsia"/>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ascii="Times New Roman" w:hAnsi="Times New Roman"/>
                <w:b/>
                <w:sz w:val="18"/>
                <w:szCs w:val="18"/>
              </w:rPr>
              <w:t>12,579.65</w:t>
            </w:r>
          </w:p>
        </w:tc>
      </w:tr>
    </w:tbl>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2、儋州市滨海新区基础设施建设工程（三期）</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b/>
                <w:bCs/>
                <w:sz w:val="18"/>
                <w:szCs w:val="18"/>
              </w:rPr>
            </w:pPr>
            <w:r>
              <w:rPr>
                <w:rFonts w:ascii="宋体" w:hAnsi="宋体" w:eastAsia="宋体"/>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46,227.29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13,383.58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4,768.87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64,379.74</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3、儋州市滨海新区中央大道</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b/>
                <w:bCs/>
                <w:sz w:val="18"/>
                <w:szCs w:val="18"/>
              </w:rPr>
            </w:pPr>
            <w:r>
              <w:rPr>
                <w:rFonts w:ascii="宋体" w:hAnsi="宋体" w:eastAsia="宋体"/>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24,902.36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7,427.30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sz w:val="18"/>
                <w:szCs w:val="18"/>
              </w:rPr>
            </w:pPr>
            <w:r>
              <w:rPr>
                <w:rFonts w:hint="eastAsia" w:ascii="宋体" w:hAnsi="宋体" w:eastAsia="宋体"/>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2,206.97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34,536.63</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4、儋州市滨海新区基础设施建设工程（二期）</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2,705.70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721.09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250.75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544" w:type="pct"/>
            <w:shd w:val="clear" w:color="auto" w:fill="auto"/>
            <w:noWrap/>
            <w:vAlign w:val="center"/>
          </w:tcPr>
          <w:p>
            <w:pPr>
              <w:spacing w:line="360" w:lineRule="auto"/>
              <w:jc w:val="center"/>
              <w:rPr>
                <w:rFonts w:cs="宋体" w:asciiTheme="minorEastAsia" w:hAnsiTheme="minorEastAsia" w:eastAsiaTheme="minorEastAsia"/>
                <w:b/>
                <w:bCs/>
                <w:sz w:val="18"/>
                <w:szCs w:val="18"/>
              </w:rPr>
            </w:pPr>
            <w:r>
              <w:rPr>
                <w:rFonts w:hint="eastAsia" w:cs="宋体" w:asciiTheme="minorEastAsia" w:hAnsiTheme="minorEastAsia" w:eastAsiaTheme="minorEastAsia"/>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3,677.54</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5、海南省儋州市中和镇历史文化名镇街道立面改造及配套工程</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14,799.58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1,680.40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824.00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cs="宋体" w:asciiTheme="minorEastAsia" w:hAnsiTheme="minorEastAsia" w:eastAsiaTheme="minorEastAsia"/>
                <w:b/>
                <w:bCs/>
                <w:sz w:val="18"/>
                <w:szCs w:val="18"/>
              </w:rPr>
            </w:pPr>
            <w:r>
              <w:rPr>
                <w:rFonts w:hint="eastAsia" w:cs="宋体" w:asciiTheme="minorEastAsia" w:hAnsiTheme="minorEastAsia" w:eastAsiaTheme="minorEastAsia"/>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17,303.98</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6、儋州市滨海未来社区（一期）</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工程费用</w:t>
            </w:r>
          </w:p>
        </w:tc>
        <w:tc>
          <w:tcPr>
            <w:tcW w:w="2456" w:type="pct"/>
            <w:shd w:val="clear" w:color="auto" w:fill="auto"/>
            <w:noWrap/>
            <w:vAlign w:val="center"/>
          </w:tcPr>
          <w:p>
            <w:pPr>
              <w:spacing w:line="360" w:lineRule="auto"/>
              <w:jc w:val="right"/>
              <w:rPr>
                <w:rFonts w:ascii="Times New Roman" w:hAnsi="Times New Roman"/>
                <w:sz w:val="18"/>
                <w:szCs w:val="18"/>
              </w:rPr>
            </w:pPr>
            <w:r>
              <w:rPr>
                <w:rFonts w:hint="eastAsia" w:ascii="Times New Roman" w:hAnsi="Times New Roman"/>
                <w:sz w:val="18"/>
                <w:szCs w:val="18"/>
              </w:rPr>
              <w:t>136,925.60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20,538.84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12,597.16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cs="宋体" w:asciiTheme="minorEastAsia" w:hAnsiTheme="minorEastAsia" w:eastAsiaTheme="minorEastAsia"/>
                <w:b/>
                <w:bCs/>
                <w:sz w:val="18"/>
                <w:szCs w:val="18"/>
              </w:rPr>
            </w:pPr>
            <w:r>
              <w:rPr>
                <w:rFonts w:hint="eastAsia" w:cs="宋体" w:asciiTheme="minorEastAsia" w:hAnsiTheme="minorEastAsia" w:eastAsiaTheme="minorEastAsia"/>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170,061.60</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7、儋州市那大镇云月路消防站拆除重建工程</w:t>
      </w: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6"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6" w:type="pct"/>
            <w:shd w:val="clear" w:color="auto" w:fill="auto"/>
            <w:noWrap/>
            <w:vAlign w:val="center"/>
          </w:tcPr>
          <w:p>
            <w:pPr>
              <w:spacing w:line="360" w:lineRule="auto"/>
              <w:jc w:val="righ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1,647.09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工程建设其他费用</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230.33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预备费</w:t>
            </w:r>
          </w:p>
        </w:tc>
        <w:tc>
          <w:tcPr>
            <w:tcW w:w="2456" w:type="pct"/>
            <w:shd w:val="clear" w:color="auto" w:fill="auto"/>
            <w:noWrap/>
          </w:tcPr>
          <w:p>
            <w:pPr>
              <w:spacing w:line="360" w:lineRule="auto"/>
              <w:jc w:val="right"/>
              <w:rPr>
                <w:rFonts w:ascii="Times New Roman" w:hAnsi="Times New Roman"/>
                <w:sz w:val="18"/>
                <w:szCs w:val="18"/>
              </w:rPr>
            </w:pPr>
            <w:r>
              <w:rPr>
                <w:rFonts w:hint="eastAsia" w:ascii="Times New Roman" w:hAnsi="Times New Roman"/>
                <w:sz w:val="18"/>
                <w:szCs w:val="18"/>
              </w:rPr>
              <w:t>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544" w:type="pct"/>
            <w:shd w:val="clear" w:color="auto" w:fill="auto"/>
            <w:noWrap/>
            <w:vAlign w:val="center"/>
          </w:tcPr>
          <w:p>
            <w:pPr>
              <w:spacing w:line="360" w:lineRule="auto"/>
              <w:jc w:val="center"/>
              <w:rPr>
                <w:rFonts w:cs="宋体" w:asciiTheme="minorEastAsia" w:hAnsiTheme="minorEastAsia" w:eastAsiaTheme="minorEastAsia"/>
                <w:b/>
                <w:bCs/>
                <w:sz w:val="18"/>
                <w:szCs w:val="18"/>
              </w:rPr>
            </w:pPr>
            <w:r>
              <w:rPr>
                <w:rFonts w:hint="eastAsia" w:cs="宋体" w:asciiTheme="minorEastAsia" w:hAnsiTheme="minorEastAsia" w:eastAsiaTheme="minorEastAsia"/>
                <w:b/>
                <w:bCs/>
                <w:sz w:val="18"/>
                <w:szCs w:val="18"/>
              </w:rPr>
              <w:t>估算总额</w:t>
            </w:r>
          </w:p>
        </w:tc>
        <w:tc>
          <w:tcPr>
            <w:tcW w:w="2456" w:type="pct"/>
            <w:shd w:val="clear" w:color="auto" w:fill="auto"/>
            <w:noWrap/>
            <w:vAlign w:val="center"/>
          </w:tcPr>
          <w:p>
            <w:pPr>
              <w:spacing w:line="360" w:lineRule="auto"/>
              <w:jc w:val="right"/>
              <w:rPr>
                <w:rFonts w:ascii="Times New Roman" w:hAnsi="Times New Roman"/>
                <w:b/>
                <w:sz w:val="18"/>
                <w:szCs w:val="18"/>
              </w:rPr>
            </w:pPr>
            <w:r>
              <w:rPr>
                <w:rFonts w:hint="eastAsia" w:ascii="Times New Roman" w:hAnsi="Times New Roman"/>
                <w:b/>
                <w:sz w:val="18"/>
                <w:szCs w:val="18"/>
              </w:rPr>
              <w:t>1,933.74</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8、雅星镇生态养殖产业基地配套基础设施建设项目</w:t>
      </w:r>
    </w:p>
    <w:tbl>
      <w:tblPr>
        <w:tblStyle w:val="10"/>
        <w:tblW w:w="8433" w:type="dxa"/>
        <w:jc w:val="center"/>
        <w:tblLayout w:type="autofit"/>
        <w:tblCellMar>
          <w:top w:w="0" w:type="dxa"/>
          <w:left w:w="108" w:type="dxa"/>
          <w:bottom w:w="0" w:type="dxa"/>
          <w:right w:w="108" w:type="dxa"/>
        </w:tblCellMar>
      </w:tblPr>
      <w:tblGrid>
        <w:gridCol w:w="3701"/>
        <w:gridCol w:w="850"/>
        <w:gridCol w:w="2268"/>
        <w:gridCol w:w="1614"/>
      </w:tblGrid>
      <w:tr>
        <w:tblPrEx>
          <w:tblCellMar>
            <w:top w:w="0" w:type="dxa"/>
            <w:left w:w="108" w:type="dxa"/>
            <w:bottom w:w="0" w:type="dxa"/>
            <w:right w:w="108" w:type="dxa"/>
          </w:tblCellMar>
        </w:tblPrEx>
        <w:trPr>
          <w:trHeight w:val="405" w:hRule="atLeast"/>
          <w:jc w:val="center"/>
        </w:trPr>
        <w:tc>
          <w:tcPr>
            <w:tcW w:w="3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olor w:val="000000"/>
                <w:sz w:val="18"/>
                <w:szCs w:val="18"/>
              </w:rPr>
            </w:pPr>
            <w:r>
              <w:rPr>
                <w:rFonts w:hint="eastAsia" w:ascii="Times New Roman" w:hAnsi="Times New Roman" w:eastAsia="宋体"/>
                <w:color w:val="000000"/>
                <w:sz w:val="18"/>
                <w:szCs w:val="18"/>
              </w:rPr>
              <w:t>雅星镇春江水厂供水工程</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工程费用</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10,001.73</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工程建设其他费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3,081.52</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3</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预备费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341.66</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311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b/>
                <w:bCs/>
                <w:color w:val="000000"/>
                <w:sz w:val="18"/>
                <w:szCs w:val="18"/>
              </w:rPr>
            </w:pPr>
            <w:r>
              <w:rPr>
                <w:rFonts w:ascii="Times New Roman" w:hAnsi="Times New Roman" w:eastAsia="宋体"/>
                <w:b/>
                <w:bCs/>
                <w:color w:val="000000"/>
                <w:sz w:val="18"/>
                <w:szCs w:val="18"/>
              </w:rPr>
              <w:t>估算总额</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13,424.91</w:t>
            </w:r>
          </w:p>
        </w:tc>
      </w:tr>
      <w:tr>
        <w:tblPrEx>
          <w:tblCellMar>
            <w:top w:w="0" w:type="dxa"/>
            <w:left w:w="108" w:type="dxa"/>
            <w:bottom w:w="0" w:type="dxa"/>
            <w:right w:w="108" w:type="dxa"/>
          </w:tblCellMar>
        </w:tblPrEx>
        <w:trPr>
          <w:trHeight w:val="825" w:hRule="atLeast"/>
          <w:jc w:val="center"/>
        </w:trPr>
        <w:tc>
          <w:tcPr>
            <w:tcW w:w="3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olor w:val="000000"/>
                <w:sz w:val="18"/>
                <w:szCs w:val="18"/>
              </w:rPr>
            </w:pPr>
            <w:r>
              <w:rPr>
                <w:rFonts w:hint="eastAsia" w:ascii="Times New Roman" w:hAnsi="Times New Roman" w:eastAsia="宋体"/>
                <w:color w:val="000000"/>
                <w:sz w:val="18"/>
                <w:szCs w:val="18"/>
              </w:rPr>
              <w:t>雅星镇春江水厂配套电力工程</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建安工程费用</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1,779.90</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工程建设其他费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132.92</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3</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预备费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19.13</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311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b/>
                <w:bCs/>
                <w:color w:val="000000"/>
                <w:sz w:val="18"/>
                <w:szCs w:val="18"/>
              </w:rPr>
            </w:pPr>
            <w:r>
              <w:rPr>
                <w:rFonts w:ascii="Times New Roman" w:hAnsi="Times New Roman" w:eastAsia="宋体"/>
                <w:b/>
                <w:bCs/>
                <w:color w:val="000000"/>
                <w:sz w:val="18"/>
                <w:szCs w:val="18"/>
              </w:rPr>
              <w:t>估算总额</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1,931.95</w:t>
            </w:r>
          </w:p>
        </w:tc>
      </w:tr>
      <w:tr>
        <w:tblPrEx>
          <w:tblCellMar>
            <w:top w:w="0" w:type="dxa"/>
            <w:left w:w="108" w:type="dxa"/>
            <w:bottom w:w="0" w:type="dxa"/>
            <w:right w:w="108" w:type="dxa"/>
          </w:tblCellMar>
        </w:tblPrEx>
        <w:trPr>
          <w:trHeight w:val="405" w:hRule="atLeast"/>
          <w:jc w:val="center"/>
        </w:trPr>
        <w:tc>
          <w:tcPr>
            <w:tcW w:w="3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olor w:val="000000"/>
                <w:sz w:val="18"/>
                <w:szCs w:val="18"/>
              </w:rPr>
            </w:pPr>
            <w:r>
              <w:rPr>
                <w:rFonts w:hint="eastAsia" w:ascii="Times New Roman" w:hAnsi="Times New Roman" w:eastAsia="宋体"/>
                <w:color w:val="000000"/>
                <w:sz w:val="18"/>
                <w:szCs w:val="18"/>
              </w:rPr>
              <w:t>雅星镇春江水厂配套道路工程</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工程费用</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1,551.58</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土地征用及拆迁补偿费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10.22</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工程建设其他费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235.89</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3</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olor w:val="000000"/>
                <w:sz w:val="18"/>
                <w:szCs w:val="18"/>
              </w:rPr>
            </w:pPr>
            <w:r>
              <w:rPr>
                <w:rFonts w:ascii="Times New Roman" w:hAnsi="Times New Roman" w:eastAsia="宋体"/>
                <w:color w:val="000000"/>
                <w:sz w:val="18"/>
                <w:szCs w:val="18"/>
              </w:rPr>
              <w:t>预备费</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71.91</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311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b/>
                <w:bCs/>
                <w:color w:val="000000"/>
                <w:sz w:val="18"/>
                <w:szCs w:val="18"/>
              </w:rPr>
            </w:pPr>
            <w:r>
              <w:rPr>
                <w:rFonts w:ascii="Times New Roman" w:hAnsi="Times New Roman" w:eastAsia="宋体"/>
                <w:b/>
                <w:bCs/>
                <w:color w:val="000000"/>
                <w:sz w:val="18"/>
                <w:szCs w:val="18"/>
              </w:rPr>
              <w:t>估算总额</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color w:val="000000"/>
                <w:sz w:val="18"/>
                <w:szCs w:val="18"/>
              </w:rPr>
            </w:pPr>
            <w:r>
              <w:rPr>
                <w:rFonts w:hint="eastAsia" w:ascii="Times New Roman" w:hAnsi="Times New Roman" w:eastAsia="宋体"/>
                <w:color w:val="000000"/>
                <w:sz w:val="18"/>
                <w:szCs w:val="18"/>
              </w:rPr>
              <w:t>1,869.60</w:t>
            </w:r>
          </w:p>
        </w:tc>
      </w:tr>
      <w:tr>
        <w:tblPrEx>
          <w:tblCellMar>
            <w:top w:w="0" w:type="dxa"/>
            <w:left w:w="108" w:type="dxa"/>
            <w:bottom w:w="0" w:type="dxa"/>
            <w:right w:w="108" w:type="dxa"/>
          </w:tblCellMar>
        </w:tblPrEx>
        <w:trPr>
          <w:trHeight w:val="405" w:hRule="atLeast"/>
          <w:jc w:val="center"/>
        </w:trPr>
        <w:tc>
          <w:tcPr>
            <w:tcW w:w="3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olor w:val="000000"/>
                <w:sz w:val="18"/>
                <w:szCs w:val="18"/>
              </w:rPr>
            </w:pPr>
          </w:p>
        </w:tc>
        <w:tc>
          <w:tcPr>
            <w:tcW w:w="3118"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b/>
                <w:bCs/>
                <w:color w:val="000000"/>
                <w:sz w:val="18"/>
                <w:szCs w:val="18"/>
              </w:rPr>
            </w:pPr>
            <w:r>
              <w:rPr>
                <w:rFonts w:ascii="Times New Roman" w:hAnsi="Times New Roman" w:eastAsia="宋体"/>
                <w:b/>
                <w:bCs/>
                <w:color w:val="000000"/>
                <w:sz w:val="18"/>
                <w:szCs w:val="18"/>
              </w:rPr>
              <w:t>小计</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imes New Roman" w:hAnsi="Times New Roman" w:eastAsia="宋体"/>
                <w:b/>
                <w:bCs/>
                <w:color w:val="000000"/>
                <w:sz w:val="18"/>
                <w:szCs w:val="18"/>
              </w:rPr>
            </w:pPr>
            <w:r>
              <w:rPr>
                <w:rFonts w:ascii="Times New Roman" w:hAnsi="Times New Roman" w:eastAsia="宋体"/>
                <w:b/>
                <w:bCs/>
                <w:color w:val="000000"/>
                <w:sz w:val="18"/>
                <w:szCs w:val="18"/>
              </w:rPr>
              <w:t>17,226.46</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注：上表中数据均来源于儋州市发展和改革委员会的批复文件。</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项目资金筹措与财务费用</w:t>
      </w:r>
    </w:p>
    <w:p>
      <w:pPr>
        <w:pStyle w:val="19"/>
        <w:tabs>
          <w:tab w:val="left" w:pos="6237"/>
        </w:tabs>
        <w:spacing w:line="360" w:lineRule="auto"/>
        <w:rPr>
          <w:rFonts w:ascii="宋体" w:hAnsi="宋体" w:eastAsia="宋体" w:cs="宋体"/>
          <w:color w:val="000000"/>
          <w:kern w:val="0"/>
          <w:szCs w:val="21"/>
        </w:rPr>
      </w:pPr>
      <w:r>
        <w:rPr>
          <w:rFonts w:ascii="宋体" w:hAnsi="宋体" w:eastAsia="宋体" w:cs="宋体"/>
          <w:color w:val="000000"/>
          <w:kern w:val="0"/>
          <w:szCs w:val="21"/>
        </w:rPr>
        <w:t>2022年儋州市基础设施专项债券（三期）</w:t>
      </w:r>
      <w:r>
        <w:rPr>
          <w:rFonts w:hint="eastAsia" w:ascii="宋体" w:hAnsi="宋体" w:eastAsia="宋体" w:cs="宋体"/>
          <w:color w:val="000000"/>
          <w:kern w:val="0"/>
          <w:szCs w:val="21"/>
        </w:rPr>
        <w:t>项目资金拟通过发行项目收益与融资自求平衡专项债券（以下简称“专项债券”）以及政府财政资金统筹筹集。</w:t>
      </w: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项目一：上海师范大学附属儋州实验学校周边路网工程</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12,579.65</w:t>
      </w:r>
      <w:r>
        <w:rPr>
          <w:rFonts w:hint="eastAsia" w:ascii="宋体" w:hAnsi="宋体" w:eastAsia="宋体" w:cs="宋体"/>
          <w:color w:val="000000"/>
          <w:kern w:val="0"/>
          <w:szCs w:val="21"/>
        </w:rPr>
        <w:t>万元，本次拟发行债券融资</w:t>
      </w:r>
      <w:r>
        <w:rPr>
          <w:rFonts w:ascii="宋体" w:hAnsi="宋体" w:eastAsia="宋体" w:cs="宋体"/>
          <w:color w:val="000000"/>
          <w:kern w:val="0"/>
          <w:szCs w:val="21"/>
        </w:rPr>
        <w:t>2,500.00</w:t>
      </w:r>
      <w:r>
        <w:rPr>
          <w:rFonts w:hint="eastAsia" w:ascii="宋体" w:hAnsi="宋体" w:eastAsia="宋体" w:cs="宋体"/>
          <w:color w:val="000000"/>
          <w:kern w:val="0"/>
          <w:szCs w:val="21"/>
        </w:rPr>
        <w:t>万元，预计该专项债券期限为</w:t>
      </w:r>
      <w:r>
        <w:rPr>
          <w:rFonts w:ascii="宋体" w:hAnsi="宋体" w:eastAsia="宋体"/>
          <w:szCs w:val="21"/>
        </w:rPr>
        <w:t>1</w:t>
      </w:r>
      <w:r>
        <w:rPr>
          <w:rFonts w:hint="eastAsia" w:ascii="宋体" w:hAnsi="宋体" w:eastAsia="宋体"/>
          <w:szCs w:val="21"/>
        </w:rPr>
        <w:t>0</w:t>
      </w:r>
      <w:r>
        <w:rPr>
          <w:rFonts w:ascii="宋体" w:hAnsi="宋体" w:eastAsia="宋体"/>
          <w:szCs w:val="21"/>
        </w:rPr>
        <w:t>年</w:t>
      </w:r>
      <w:r>
        <w:rPr>
          <w:rFonts w:hint="eastAsia" w:ascii="宋体" w:hAnsi="宋体" w:eastAsia="宋体" w:cs="宋体"/>
          <w:color w:val="000000"/>
          <w:kern w:val="0"/>
          <w:szCs w:val="21"/>
        </w:rPr>
        <w:t>，年利率不超过3.35</w:t>
      </w:r>
      <w:r>
        <w:rPr>
          <w:rFonts w:ascii="宋体" w:hAnsi="宋体" w:eastAsia="宋体" w:cs="宋体"/>
          <w:color w:val="000000"/>
          <w:kern w:val="0"/>
          <w:szCs w:val="21"/>
        </w:rPr>
        <w:t>%</w:t>
      </w:r>
      <w:r>
        <w:rPr>
          <w:rFonts w:hint="eastAsia" w:ascii="宋体" w:hAnsi="宋体" w:eastAsia="宋体" w:cs="宋体"/>
          <w:color w:val="000000"/>
          <w:kern w:val="0"/>
          <w:szCs w:val="21"/>
        </w:rPr>
        <w:t>；发行费用为债券发行金额的0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；通过政府财政统筹安排资金</w:t>
      </w:r>
      <w:r>
        <w:rPr>
          <w:rFonts w:ascii="宋体" w:hAnsi="宋体" w:eastAsia="宋体" w:cs="宋体"/>
          <w:color w:val="000000"/>
          <w:kern w:val="0"/>
          <w:szCs w:val="21"/>
        </w:rPr>
        <w:t>10,079.65</w:t>
      </w:r>
      <w:r>
        <w:rPr>
          <w:rFonts w:hint="eastAsia" w:ascii="宋体" w:hAnsi="宋体" w:eastAsia="宋体" w:cs="宋体"/>
          <w:color w:val="000000"/>
          <w:kern w:val="0"/>
          <w:szCs w:val="21"/>
        </w:rPr>
        <w:t>万元，约占投资总额的</w:t>
      </w:r>
      <w:r>
        <w:rPr>
          <w:rFonts w:ascii="宋体" w:hAnsi="宋体" w:eastAsia="宋体" w:cs="宋体"/>
          <w:color w:val="000000"/>
          <w:kern w:val="0"/>
          <w:szCs w:val="21"/>
        </w:rPr>
        <w:t>80.13%</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3"/>
        <w:gridCol w:w="1413"/>
        <w:gridCol w:w="1324"/>
        <w:gridCol w:w="1256"/>
        <w:gridCol w:w="1157"/>
        <w:gridCol w:w="1237"/>
        <w:gridCol w:w="12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41.88</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41.88</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324" w:type="dxa"/>
            <w:shd w:val="clear" w:color="auto" w:fill="auto"/>
            <w:vAlign w:val="center"/>
          </w:tcPr>
          <w:p>
            <w:pPr>
              <w:jc w:val="right"/>
              <w:rPr>
                <w:rFonts w:ascii="Times New Roman" w:hAnsi="Times New Roman"/>
                <w:sz w:val="18"/>
                <w:szCs w:val="18"/>
              </w:rPr>
            </w:pP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41.88</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2,541.88</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256" w:type="dxa"/>
            <w:shd w:val="clear" w:color="auto" w:fill="auto"/>
            <w:vAlign w:val="center"/>
          </w:tcPr>
          <w:p>
            <w:pPr>
              <w:jc w:val="right"/>
              <w:rPr>
                <w:rFonts w:ascii="Times New Roman" w:hAnsi="Times New Roman"/>
                <w:sz w:val="18"/>
                <w:szCs w:val="18"/>
              </w:rPr>
            </w:pPr>
            <w:r>
              <w:rPr>
                <w:rFonts w:ascii="Times New Roman" w:hAnsi="Times New Roman"/>
                <w:sz w:val="18"/>
                <w:szCs w:val="18"/>
              </w:rPr>
              <w:t>2,500.00</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837.50</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3,337.50</w:t>
            </w:r>
          </w:p>
        </w:tc>
        <w:tc>
          <w:tcPr>
            <w:tcW w:w="1256"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项目二：儋州市滨海新区基础设施建设工程（三期）</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64,379.74</w:t>
      </w:r>
      <w:r>
        <w:rPr>
          <w:rFonts w:hint="eastAsia" w:ascii="宋体" w:hAnsi="宋体" w:eastAsia="宋体" w:cs="宋体"/>
          <w:color w:val="000000"/>
          <w:kern w:val="0"/>
          <w:szCs w:val="21"/>
        </w:rPr>
        <w:t>万元，本次拟发行债券融资2，5</w:t>
      </w:r>
      <w:r>
        <w:rPr>
          <w:rFonts w:ascii="宋体" w:hAnsi="宋体" w:eastAsia="宋体" w:cs="宋体"/>
          <w:color w:val="000000"/>
          <w:kern w:val="0"/>
          <w:szCs w:val="21"/>
        </w:rPr>
        <w:t>00.00</w:t>
      </w:r>
      <w:r>
        <w:rPr>
          <w:rFonts w:hint="eastAsia" w:ascii="宋体" w:hAnsi="宋体" w:eastAsia="宋体" w:cs="宋体"/>
          <w:color w:val="000000"/>
          <w:kern w:val="0"/>
          <w:szCs w:val="21"/>
        </w:rPr>
        <w:t>万元，预计该专项债券期限为</w:t>
      </w:r>
      <w:r>
        <w:rPr>
          <w:rFonts w:ascii="宋体" w:hAnsi="宋体" w:eastAsia="宋体"/>
          <w:szCs w:val="21"/>
        </w:rPr>
        <w:t>1</w:t>
      </w:r>
      <w:r>
        <w:rPr>
          <w:rFonts w:hint="eastAsia" w:ascii="宋体" w:hAnsi="宋体" w:eastAsia="宋体"/>
          <w:szCs w:val="21"/>
        </w:rPr>
        <w:t>0</w:t>
      </w:r>
      <w:r>
        <w:rPr>
          <w:rFonts w:ascii="宋体" w:hAnsi="宋体" w:eastAsia="宋体"/>
          <w:szCs w:val="21"/>
        </w:rPr>
        <w:t>年</w:t>
      </w:r>
      <w:r>
        <w:rPr>
          <w:rFonts w:hint="eastAsia" w:ascii="宋体" w:hAnsi="宋体" w:eastAsia="宋体" w:cs="宋体"/>
          <w:color w:val="000000"/>
          <w:kern w:val="0"/>
          <w:szCs w:val="21"/>
        </w:rPr>
        <w:t>，年利率不超过3.35</w:t>
      </w:r>
      <w:r>
        <w:rPr>
          <w:rFonts w:ascii="宋体" w:hAnsi="宋体" w:eastAsia="宋体" w:cs="宋体"/>
          <w:color w:val="000000"/>
          <w:kern w:val="0"/>
          <w:szCs w:val="21"/>
        </w:rPr>
        <w:t>%</w:t>
      </w:r>
      <w:r>
        <w:rPr>
          <w:rFonts w:hint="eastAsia" w:ascii="宋体" w:hAnsi="宋体" w:eastAsia="宋体" w:cs="宋体"/>
          <w:color w:val="000000"/>
          <w:kern w:val="0"/>
          <w:szCs w:val="21"/>
        </w:rPr>
        <w:t>，发行费用为债券发行金额的0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 xml:space="preserve">；通过政府财政统筹安排资金 </w:t>
      </w:r>
      <w:r>
        <w:rPr>
          <w:rFonts w:ascii="宋体" w:hAnsi="宋体" w:eastAsia="宋体" w:cs="宋体"/>
          <w:color w:val="000000"/>
          <w:kern w:val="0"/>
          <w:szCs w:val="21"/>
        </w:rPr>
        <w:t>61,879.74</w:t>
      </w:r>
      <w:r>
        <w:rPr>
          <w:rFonts w:hint="eastAsia" w:ascii="宋体" w:hAnsi="宋体" w:eastAsia="宋体" w:cs="宋体"/>
          <w:color w:val="000000"/>
          <w:kern w:val="0"/>
          <w:szCs w:val="21"/>
        </w:rPr>
        <w:t>万元，约占投资总额的</w:t>
      </w:r>
      <w:r>
        <w:rPr>
          <w:rFonts w:ascii="宋体" w:hAnsi="宋体" w:eastAsia="宋体" w:cs="宋体"/>
          <w:color w:val="000000"/>
          <w:kern w:val="0"/>
          <w:szCs w:val="21"/>
        </w:rPr>
        <w:t>96.12%</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4"/>
        <w:gridCol w:w="1324"/>
        <w:gridCol w:w="1255"/>
        <w:gridCol w:w="1157"/>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2,541.88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837.50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3,337.50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项目三：儋州市滨海新区中央大道</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34,536.63</w:t>
      </w:r>
      <w:r>
        <w:rPr>
          <w:rFonts w:hint="eastAsia" w:ascii="宋体" w:hAnsi="宋体" w:eastAsia="宋体" w:cs="宋体"/>
          <w:color w:val="000000"/>
          <w:kern w:val="0"/>
          <w:szCs w:val="21"/>
        </w:rPr>
        <w:t>万元，本次拟发行债券融资</w:t>
      </w:r>
      <w:r>
        <w:rPr>
          <w:rFonts w:ascii="宋体" w:hAnsi="宋体" w:eastAsia="宋体" w:cs="宋体"/>
          <w:color w:val="000000"/>
          <w:kern w:val="0"/>
          <w:szCs w:val="21"/>
        </w:rPr>
        <w:t>1,500.00</w:t>
      </w:r>
      <w:r>
        <w:rPr>
          <w:rFonts w:hint="eastAsia" w:ascii="宋体" w:hAnsi="宋体" w:eastAsia="宋体" w:cs="宋体"/>
          <w:color w:val="000000"/>
          <w:kern w:val="0"/>
          <w:szCs w:val="21"/>
        </w:rPr>
        <w:t>万元，年利率不超过3.35%，发行费用为债券发行金额的0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 xml:space="preserve">；通过政府财政统筹安排资金 </w:t>
      </w:r>
      <w:r>
        <w:rPr>
          <w:rFonts w:ascii="宋体" w:hAnsi="宋体" w:eastAsia="宋体" w:cs="宋体"/>
          <w:color w:val="000000"/>
          <w:kern w:val="0"/>
          <w:szCs w:val="21"/>
        </w:rPr>
        <w:t>33,036.63</w:t>
      </w:r>
      <w:r>
        <w:rPr>
          <w:rFonts w:hint="eastAsia" w:ascii="宋体" w:hAnsi="宋体" w:eastAsia="宋体" w:cs="宋体"/>
          <w:color w:val="000000"/>
          <w:kern w:val="0"/>
          <w:szCs w:val="21"/>
        </w:rPr>
        <w:t>万元，约占投资总额的</w:t>
      </w:r>
      <w:r>
        <w:rPr>
          <w:rFonts w:ascii="宋体" w:hAnsi="宋体" w:eastAsia="宋体" w:cs="宋体"/>
          <w:color w:val="000000"/>
          <w:kern w:val="0"/>
          <w:szCs w:val="21"/>
        </w:rPr>
        <w:t>95.66%</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4"/>
        <w:gridCol w:w="1324"/>
        <w:gridCol w:w="1255"/>
        <w:gridCol w:w="1157"/>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25.13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25.13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25.13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1,525.13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502.50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2,002.50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项目四：儋州市滨海新区基础设施建设工程（二期）</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3,677.54</w:t>
      </w:r>
      <w:r>
        <w:rPr>
          <w:rFonts w:hint="eastAsia" w:ascii="宋体" w:hAnsi="宋体" w:eastAsia="宋体" w:cs="宋体"/>
          <w:color w:val="000000"/>
          <w:kern w:val="0"/>
          <w:szCs w:val="21"/>
        </w:rPr>
        <w:t>万元，本次拟发行债券融资1,900.00万元，年利率不超过3.35%；发行费用为债券发行金额的0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 xml:space="preserve">；通过政府财政统筹安排资金 </w:t>
      </w:r>
      <w:r>
        <w:rPr>
          <w:rFonts w:ascii="宋体" w:hAnsi="宋体" w:eastAsia="宋体" w:cs="宋体"/>
          <w:color w:val="000000"/>
          <w:kern w:val="0"/>
          <w:szCs w:val="21"/>
        </w:rPr>
        <w:t>1,777.54</w:t>
      </w:r>
      <w:r>
        <w:rPr>
          <w:rFonts w:hint="eastAsia" w:ascii="宋体" w:hAnsi="宋体" w:eastAsia="宋体" w:cs="宋体"/>
          <w:color w:val="000000"/>
          <w:kern w:val="0"/>
          <w:szCs w:val="21"/>
        </w:rPr>
        <w:t>万元，约占投资总额的</w:t>
      </w:r>
      <w:r>
        <w:rPr>
          <w:rFonts w:ascii="宋体" w:hAnsi="宋体" w:eastAsia="宋体" w:cs="宋体"/>
          <w:color w:val="000000"/>
          <w:kern w:val="0"/>
          <w:szCs w:val="21"/>
        </w:rPr>
        <w:t>48.34%</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4"/>
        <w:gridCol w:w="1324"/>
        <w:gridCol w:w="1255"/>
        <w:gridCol w:w="1157"/>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31.83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31.83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31.83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1,931.83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636.50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2,536.50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项目五：海南省儋州市中和镇历史文化名镇街道立面改造及配套工程</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17,303.98</w:t>
      </w:r>
      <w:r>
        <w:rPr>
          <w:rFonts w:hint="eastAsia" w:ascii="宋体" w:hAnsi="宋体" w:eastAsia="宋体" w:cs="宋体"/>
          <w:color w:val="000000"/>
          <w:kern w:val="0"/>
          <w:szCs w:val="21"/>
        </w:rPr>
        <w:t>万元，本次拟发行债券融资</w:t>
      </w:r>
      <w:r>
        <w:rPr>
          <w:rFonts w:ascii="宋体" w:hAnsi="宋体" w:eastAsia="宋体" w:cs="宋体"/>
          <w:color w:val="000000"/>
          <w:kern w:val="0"/>
          <w:szCs w:val="21"/>
        </w:rPr>
        <w:t>2,200.00</w:t>
      </w:r>
      <w:r>
        <w:rPr>
          <w:rFonts w:hint="eastAsia" w:ascii="宋体" w:hAnsi="宋体" w:eastAsia="宋体" w:cs="宋体"/>
          <w:color w:val="000000"/>
          <w:kern w:val="0"/>
          <w:szCs w:val="21"/>
        </w:rPr>
        <w:t>万元，年利率不超过3.35%；发行费用为债券发行金额的0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 xml:space="preserve">；通过政府财政统筹安排资金 </w:t>
      </w:r>
      <w:r>
        <w:rPr>
          <w:rFonts w:ascii="宋体" w:hAnsi="宋体" w:eastAsia="宋体" w:cs="宋体"/>
          <w:color w:val="000000"/>
          <w:kern w:val="0"/>
          <w:szCs w:val="21"/>
        </w:rPr>
        <w:t>15,103.98</w:t>
      </w:r>
      <w:r>
        <w:rPr>
          <w:rFonts w:hint="eastAsia" w:ascii="宋体" w:hAnsi="宋体" w:eastAsia="宋体" w:cs="宋体"/>
          <w:color w:val="000000"/>
          <w:kern w:val="0"/>
          <w:szCs w:val="21"/>
        </w:rPr>
        <w:t>万元，约占投资总额的</w:t>
      </w:r>
      <w:r>
        <w:rPr>
          <w:rFonts w:ascii="宋体" w:hAnsi="宋体" w:eastAsia="宋体" w:cs="宋体"/>
          <w:color w:val="000000"/>
          <w:kern w:val="0"/>
          <w:szCs w:val="21"/>
        </w:rPr>
        <w:t>87.29%</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4"/>
        <w:gridCol w:w="1413"/>
        <w:gridCol w:w="1324"/>
        <w:gridCol w:w="1255"/>
        <w:gridCol w:w="1158"/>
        <w:gridCol w:w="1237"/>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8"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36.85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36.85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36.85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2,236.85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737.00 </w:t>
            </w:r>
          </w:p>
        </w:tc>
        <w:tc>
          <w:tcPr>
            <w:tcW w:w="123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2,937.00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项目六：儋州市滨海未来社区（一期）</w:t>
      </w:r>
    </w:p>
    <w:p>
      <w:pPr>
        <w:pStyle w:val="19"/>
        <w:tabs>
          <w:tab w:val="left" w:pos="993"/>
          <w:tab w:val="left" w:pos="1276"/>
        </w:tabs>
        <w:spacing w:before="156" w:beforeLines="50"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170,061.60</w:t>
      </w:r>
      <w:r>
        <w:rPr>
          <w:rFonts w:hint="eastAsia" w:ascii="宋体" w:hAnsi="宋体" w:eastAsia="宋体" w:cs="宋体"/>
          <w:color w:val="000000"/>
          <w:kern w:val="0"/>
          <w:szCs w:val="21"/>
        </w:rPr>
        <w:t>万元，本次拟发行债券融资1,300.00万元，年利率不超过3.35%；发行费用为债券发行金额的0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；通过政府财政统筹安排资金</w:t>
      </w:r>
      <w:r>
        <w:rPr>
          <w:rFonts w:ascii="宋体" w:hAnsi="宋体" w:eastAsia="宋体" w:cs="宋体"/>
          <w:color w:val="000000"/>
          <w:kern w:val="0"/>
          <w:szCs w:val="21"/>
        </w:rPr>
        <w:t>168,761.60</w:t>
      </w:r>
      <w:r>
        <w:rPr>
          <w:rFonts w:hint="eastAsia" w:ascii="宋体" w:hAnsi="宋体" w:eastAsia="宋体" w:cs="宋体"/>
          <w:color w:val="000000"/>
          <w:kern w:val="0"/>
          <w:szCs w:val="21"/>
        </w:rPr>
        <w:t>万元，约占总投的</w:t>
      </w:r>
      <w:r>
        <w:rPr>
          <w:rFonts w:ascii="宋体" w:hAnsi="宋体" w:eastAsia="宋体" w:cs="宋体"/>
          <w:color w:val="000000"/>
          <w:kern w:val="0"/>
          <w:szCs w:val="21"/>
        </w:rPr>
        <w:t>99.24%</w:t>
      </w:r>
      <w:r>
        <w:rPr>
          <w:rFonts w:hint="eastAsia" w:ascii="宋体" w:hAnsi="宋体" w:eastAsia="宋体" w:cs="宋体"/>
          <w:color w:val="000000"/>
          <w:kern w:val="0"/>
          <w:szCs w:val="21"/>
        </w:rPr>
        <w:t>，拟于项目建设期间拨付到位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4"/>
        <w:gridCol w:w="1324"/>
        <w:gridCol w:w="1255"/>
        <w:gridCol w:w="1157"/>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7"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21.78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21.78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21.78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1,321.78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4"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157"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435.50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1,735.50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项目七：儋州市那大镇云月路消防站拆除重建工程</w:t>
      </w:r>
    </w:p>
    <w:p>
      <w:pPr>
        <w:pStyle w:val="19"/>
        <w:tabs>
          <w:tab w:val="left" w:pos="993"/>
          <w:tab w:val="left" w:pos="1276"/>
        </w:tabs>
        <w:spacing w:before="156" w:beforeLines="50"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1,933.74</w:t>
      </w:r>
      <w:r>
        <w:rPr>
          <w:rFonts w:hint="eastAsia" w:ascii="宋体" w:hAnsi="宋体" w:eastAsia="宋体" w:cs="宋体"/>
          <w:color w:val="000000"/>
          <w:kern w:val="0"/>
          <w:szCs w:val="21"/>
        </w:rPr>
        <w:t>万元，本次拟发行债券融资1,000.00 万元，债券期限10年，年利率不超过3.35%；发行费用为债券发行金额的0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；通过政府财政统筹安排资金</w:t>
      </w:r>
      <w:r>
        <w:rPr>
          <w:rFonts w:ascii="宋体" w:hAnsi="宋体" w:eastAsia="宋体" w:cs="宋体"/>
          <w:color w:val="000000"/>
          <w:kern w:val="0"/>
          <w:szCs w:val="21"/>
        </w:rPr>
        <w:t>933.74</w:t>
      </w:r>
      <w:r>
        <w:rPr>
          <w:rFonts w:hint="eastAsia" w:ascii="宋体" w:hAnsi="宋体" w:eastAsia="宋体" w:cs="宋体"/>
          <w:color w:val="000000"/>
          <w:kern w:val="0"/>
          <w:szCs w:val="21"/>
        </w:rPr>
        <w:t>万元，约占总投资的</w:t>
      </w:r>
      <w:r>
        <w:rPr>
          <w:rFonts w:ascii="宋体" w:hAnsi="宋体" w:eastAsia="宋体" w:cs="宋体"/>
          <w:color w:val="000000"/>
          <w:kern w:val="0"/>
          <w:szCs w:val="21"/>
        </w:rPr>
        <w:t>48.29%</w:t>
      </w:r>
      <w:r>
        <w:rPr>
          <w:rFonts w:hint="eastAsia" w:ascii="宋体" w:hAnsi="宋体" w:eastAsia="宋体" w:cs="宋体"/>
          <w:color w:val="000000"/>
          <w:kern w:val="0"/>
          <w:szCs w:val="21"/>
        </w:rPr>
        <w:t>，其中2021年已拨付300.00万元，剩余资金拟于项目建设期间拨付到位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3"/>
        <w:gridCol w:w="1324"/>
        <w:gridCol w:w="1255"/>
        <w:gridCol w:w="1158"/>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8"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16.75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16.75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16.75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1,016.75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1,335.00 </w:t>
            </w:r>
          </w:p>
        </w:tc>
        <w:tc>
          <w:tcPr>
            <w:tcW w:w="1255" w:type="dxa"/>
            <w:shd w:val="clear" w:color="auto" w:fill="auto"/>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项目八：雅星镇生态养殖产业基地配套基础设施建设项目</w:t>
      </w:r>
    </w:p>
    <w:p>
      <w:pPr>
        <w:pStyle w:val="19"/>
        <w:tabs>
          <w:tab w:val="left" w:pos="993"/>
          <w:tab w:val="left" w:pos="1276"/>
        </w:tabs>
        <w:spacing w:before="156" w:beforeLines="50" w:after="156" w:afterLines="50" w:line="360" w:lineRule="auto"/>
        <w:rPr>
          <w:rFonts w:ascii="宋体" w:hAnsi="宋体" w:eastAsia="宋体" w:cs="宋体"/>
          <w:kern w:val="0"/>
          <w:szCs w:val="21"/>
        </w:rPr>
      </w:pPr>
      <w:r>
        <w:rPr>
          <w:rFonts w:hint="eastAsia" w:ascii="宋体" w:hAnsi="宋体" w:eastAsia="宋体" w:cs="宋体"/>
          <w:color w:val="000000"/>
          <w:kern w:val="0"/>
          <w:szCs w:val="21"/>
        </w:rPr>
        <w:t>根据前述估算，项目投资总额为</w:t>
      </w:r>
      <w:r>
        <w:rPr>
          <w:rFonts w:ascii="宋体" w:hAnsi="宋体" w:eastAsia="宋体" w:cs="宋体"/>
          <w:color w:val="000000"/>
          <w:kern w:val="0"/>
          <w:szCs w:val="21"/>
        </w:rPr>
        <w:t>17,226.46</w:t>
      </w:r>
      <w:r>
        <w:rPr>
          <w:rFonts w:hint="eastAsia" w:ascii="宋体" w:hAnsi="宋体" w:eastAsia="宋体" w:cs="宋体"/>
          <w:color w:val="000000"/>
          <w:kern w:val="0"/>
          <w:szCs w:val="21"/>
        </w:rPr>
        <w:t>万元，2020年5月已发行债券融资</w:t>
      </w:r>
      <w:r>
        <w:rPr>
          <w:rFonts w:ascii="宋体" w:hAnsi="宋体" w:eastAsia="宋体" w:cs="宋体"/>
          <w:color w:val="000000"/>
          <w:kern w:val="0"/>
          <w:szCs w:val="21"/>
        </w:rPr>
        <w:t>14,077.00万元，</w:t>
      </w:r>
      <w:r>
        <w:rPr>
          <w:rFonts w:hint="eastAsia" w:ascii="宋体" w:hAnsi="宋体" w:eastAsia="宋体" w:cs="宋体"/>
          <w:color w:val="000000"/>
          <w:kern w:val="0"/>
          <w:szCs w:val="21"/>
        </w:rPr>
        <w:t>债券期限15年，年利率为3.44%；本次拟发行债券融资2,000.00 万元，债券期限10年，年利率不超过3.35%；发行费用为债券发行金额的0</w:t>
      </w:r>
      <w:r>
        <w:rPr>
          <w:rFonts w:ascii="宋体" w:hAnsi="宋体" w:eastAsia="宋体" w:cs="宋体"/>
          <w:color w:val="000000"/>
          <w:kern w:val="0"/>
          <w:szCs w:val="21"/>
        </w:rPr>
        <w:t>.11%</w:t>
      </w:r>
      <w:r>
        <w:rPr>
          <w:rFonts w:hint="eastAsia" w:ascii="宋体" w:hAnsi="宋体" w:eastAsia="宋体" w:cs="宋体"/>
          <w:color w:val="000000"/>
          <w:kern w:val="0"/>
          <w:szCs w:val="21"/>
        </w:rPr>
        <w:t>；通过政府财政统筹安排资金</w:t>
      </w:r>
      <w:r>
        <w:rPr>
          <w:rFonts w:ascii="宋体" w:hAnsi="宋体" w:eastAsia="宋体" w:cs="宋体"/>
          <w:color w:val="000000"/>
          <w:kern w:val="0"/>
          <w:szCs w:val="21"/>
        </w:rPr>
        <w:t>1,149.46</w:t>
      </w:r>
      <w:r>
        <w:rPr>
          <w:rFonts w:hint="eastAsia" w:ascii="宋体" w:hAnsi="宋体" w:eastAsia="宋体" w:cs="宋体"/>
          <w:color w:val="000000"/>
          <w:kern w:val="0"/>
          <w:szCs w:val="21"/>
        </w:rPr>
        <w:t>万元，约占总投的</w:t>
      </w:r>
      <w:r>
        <w:rPr>
          <w:rFonts w:ascii="宋体" w:hAnsi="宋体" w:eastAsia="宋体" w:cs="宋体"/>
          <w:color w:val="000000"/>
          <w:kern w:val="0"/>
          <w:szCs w:val="21"/>
        </w:rPr>
        <w:t>6.67%</w:t>
      </w:r>
      <w:r>
        <w:rPr>
          <w:rFonts w:hint="eastAsia" w:ascii="宋体" w:hAnsi="宋体" w:eastAsia="宋体" w:cs="宋体"/>
          <w:color w:val="000000"/>
          <w:kern w:val="0"/>
          <w:szCs w:val="21"/>
        </w:rPr>
        <w:t>，资金拟于项目建设期间拨付到位</w:t>
      </w:r>
      <w:r>
        <w:rPr>
          <w:rFonts w:hint="eastAsia" w:ascii="宋体" w:hAnsi="宋体" w:eastAsia="宋体" w:cs="宋体"/>
          <w:kern w:val="0"/>
          <w:szCs w:val="21"/>
        </w:rPr>
        <w:t>。</w:t>
      </w:r>
    </w:p>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2020年5月已发行专项债券还本付息明细表如下（单位：万元）：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3"/>
        <w:gridCol w:w="1324"/>
        <w:gridCol w:w="1255"/>
        <w:gridCol w:w="1158"/>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8"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2020年</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2026年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2027年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2028年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2029年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2030年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tcPr>
          <w:p>
            <w:pPr>
              <w:rPr>
                <w:rFonts w:ascii="Times New Roman" w:hAnsi="Times New Roman"/>
                <w:sz w:val="18"/>
                <w:szCs w:val="18"/>
              </w:rPr>
            </w:pPr>
            <w:r>
              <w:rPr>
                <w:rFonts w:ascii="Times New Roman" w:hAnsi="Times New Roman"/>
                <w:sz w:val="18"/>
                <w:szCs w:val="18"/>
              </w:rPr>
              <w:t>2035年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14,319.13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7,263.75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21,340.75 </w:t>
            </w:r>
          </w:p>
        </w:tc>
        <w:tc>
          <w:tcPr>
            <w:tcW w:w="1255" w:type="dxa"/>
            <w:shd w:val="clear" w:color="auto" w:fill="auto"/>
            <w:vAlign w:val="center"/>
          </w:tcPr>
          <w:p>
            <w:pPr>
              <w:jc w:val="right"/>
              <w:rPr>
                <w:rFonts w:ascii="Times New Roman" w:hAnsi="Times New Roman"/>
                <w:sz w:val="18"/>
                <w:szCs w:val="18"/>
              </w:rPr>
            </w:pPr>
          </w:p>
        </w:tc>
      </w:tr>
    </w:tbl>
    <w:p>
      <w:pPr>
        <w:pStyle w:val="19"/>
        <w:spacing w:after="156" w:after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本次拟发行专项债券还本付息明细表如下（单位：万元）：</w:t>
      </w:r>
    </w:p>
    <w:tbl>
      <w:tblPr>
        <w:tblStyle w:val="10"/>
        <w:tblW w:w="8976" w:type="dxa"/>
        <w:tblInd w:w="9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413"/>
        <w:gridCol w:w="1324"/>
        <w:gridCol w:w="1255"/>
        <w:gridCol w:w="1158"/>
        <w:gridCol w:w="1236"/>
        <w:gridCol w:w="125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年度</w:t>
            </w:r>
          </w:p>
        </w:tc>
        <w:tc>
          <w:tcPr>
            <w:tcW w:w="1413"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期初借款余额</w:t>
            </w:r>
          </w:p>
        </w:tc>
        <w:tc>
          <w:tcPr>
            <w:tcW w:w="1324"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当期新增借款</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w:t>
            </w:r>
          </w:p>
        </w:tc>
        <w:tc>
          <w:tcPr>
            <w:tcW w:w="1158"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当期付息</w:t>
            </w:r>
          </w:p>
        </w:tc>
        <w:tc>
          <w:tcPr>
            <w:tcW w:w="1236"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当期还本付息合计</w:t>
            </w:r>
          </w:p>
        </w:tc>
        <w:tc>
          <w:tcPr>
            <w:tcW w:w="125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期末借款余额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2022年</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2023年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2024年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2025年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2026年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2027年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2028年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2029年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2030年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2031年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ar"/>
              </w:rPr>
              <w:t>2032年</w:t>
            </w:r>
          </w:p>
        </w:tc>
        <w:tc>
          <w:tcPr>
            <w:tcW w:w="1413"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324" w:type="dxa"/>
            <w:shd w:val="clear" w:color="auto" w:fill="auto"/>
            <w:vAlign w:val="center"/>
          </w:tcPr>
          <w:p>
            <w:pPr>
              <w:jc w:val="right"/>
              <w:rPr>
                <w:rFonts w:ascii="Times New Roman" w:hAnsi="Times New Roman"/>
                <w:sz w:val="18"/>
                <w:szCs w:val="18"/>
              </w:rPr>
            </w:pP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2,033.50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1335" w:type="dxa"/>
            <w:shd w:val="clear" w:color="auto" w:fill="auto"/>
            <w:vAlign w:val="center"/>
          </w:tcPr>
          <w:p>
            <w:pPr>
              <w:widowControl/>
              <w:jc w:val="center"/>
              <w:textAlignment w:val="center"/>
              <w:rPr>
                <w:rFonts w:ascii="Times New Roman" w:hAnsi="Times New Roman" w:eastAsia="宋体"/>
                <w:b/>
                <w:bCs/>
                <w:color w:val="000000"/>
                <w:sz w:val="18"/>
                <w:szCs w:val="18"/>
              </w:rPr>
            </w:pPr>
            <w:r>
              <w:rPr>
                <w:rFonts w:ascii="Times New Roman" w:hAnsi="Times New Roman" w:eastAsia="宋体"/>
                <w:b/>
                <w:bCs/>
                <w:color w:val="000000"/>
                <w:kern w:val="0"/>
                <w:sz w:val="18"/>
                <w:szCs w:val="18"/>
                <w:lang w:bidi="ar"/>
              </w:rPr>
              <w:t>合  计</w:t>
            </w:r>
          </w:p>
        </w:tc>
        <w:tc>
          <w:tcPr>
            <w:tcW w:w="1413" w:type="dxa"/>
            <w:shd w:val="clear" w:color="auto" w:fill="auto"/>
            <w:vAlign w:val="center"/>
          </w:tcPr>
          <w:p>
            <w:pPr>
              <w:jc w:val="right"/>
              <w:rPr>
                <w:rFonts w:ascii="Times New Roman" w:hAnsi="Times New Roman"/>
                <w:sz w:val="18"/>
                <w:szCs w:val="18"/>
              </w:rPr>
            </w:pPr>
          </w:p>
        </w:tc>
        <w:tc>
          <w:tcPr>
            <w:tcW w:w="1324"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255"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158"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670.00 </w:t>
            </w:r>
          </w:p>
        </w:tc>
        <w:tc>
          <w:tcPr>
            <w:tcW w:w="1236" w:type="dxa"/>
            <w:shd w:val="clear" w:color="auto" w:fill="auto"/>
            <w:vAlign w:val="center"/>
          </w:tcPr>
          <w:p>
            <w:pPr>
              <w:jc w:val="right"/>
              <w:rPr>
                <w:rFonts w:ascii="Times New Roman" w:hAnsi="Times New Roman"/>
                <w:sz w:val="18"/>
                <w:szCs w:val="18"/>
              </w:rPr>
            </w:pPr>
            <w:r>
              <w:rPr>
                <w:rFonts w:ascii="Times New Roman" w:hAnsi="Times New Roman"/>
                <w:sz w:val="18"/>
                <w:szCs w:val="18"/>
              </w:rPr>
              <w:t xml:space="preserve"> 2,670.00 </w:t>
            </w:r>
          </w:p>
        </w:tc>
        <w:tc>
          <w:tcPr>
            <w:tcW w:w="1255" w:type="dxa"/>
            <w:shd w:val="clear" w:color="auto" w:fill="auto"/>
            <w:vAlign w:val="center"/>
          </w:tcPr>
          <w:p>
            <w:pPr>
              <w:jc w:val="right"/>
              <w:rPr>
                <w:rFonts w:ascii="Times New Roman" w:hAnsi="Times New Roman"/>
                <w:sz w:val="18"/>
                <w:szCs w:val="18"/>
              </w:rPr>
            </w:pP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项目期间资金平衡情况</w:t>
      </w:r>
    </w:p>
    <w:p>
      <w:pPr>
        <w:pStyle w:val="19"/>
        <w:rPr>
          <w:rFonts w:ascii="宋体" w:hAnsi="宋体" w:eastAsia="宋体" w:cs="宋体"/>
          <w:color w:val="000000"/>
          <w:kern w:val="0"/>
          <w:szCs w:val="21"/>
        </w:rPr>
      </w:pPr>
      <w:r>
        <w:rPr>
          <w:rFonts w:hint="eastAsia" w:ascii="宋体" w:hAnsi="宋体" w:eastAsia="宋体" w:cs="宋体"/>
          <w:color w:val="000000"/>
          <w:kern w:val="0"/>
          <w:szCs w:val="21"/>
        </w:rPr>
        <w:t>根据前述项目收益资金流入、项目建设资金支出及专项债券还本付息情况，项目专项债券存续期间资金平衡测算表如下（单位：万元）</w:t>
      </w:r>
    </w:p>
    <w:p>
      <w:pPr>
        <w:pStyle w:val="19"/>
        <w:spacing w:before="156" w:beforeLines="50" w:after="156" w:afterLines="50" w:line="360" w:lineRule="auto"/>
        <w:ind w:firstLine="422"/>
        <w:rPr>
          <w:rFonts w:ascii="宋体" w:hAnsi="宋体" w:eastAsia="宋体"/>
          <w:b/>
          <w:szCs w:val="21"/>
        </w:rPr>
        <w:sectPr>
          <w:footerReference r:id="rId3" w:type="default"/>
          <w:pgSz w:w="11906" w:h="16838"/>
          <w:pgMar w:top="1440" w:right="1800" w:bottom="1440" w:left="1800" w:header="851" w:footer="992" w:gutter="0"/>
          <w:cols w:space="425" w:num="1"/>
          <w:docGrid w:type="lines" w:linePitch="312" w:charSpace="0"/>
        </w:sect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项目一：上海师范大学附属儋州实验学校周边路网工程</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3,250.00</w:t>
            </w:r>
          </w:p>
        </w:tc>
        <w:tc>
          <w:tcPr>
            <w:tcW w:w="1095" w:type="dxa"/>
            <w:vAlign w:val="center"/>
          </w:tcPr>
          <w:p>
            <w:pPr>
              <w:jc w:val="right"/>
              <w:rPr>
                <w:rFonts w:ascii="Times New Roman" w:hAnsi="Times New Roman"/>
                <w:sz w:val="18"/>
                <w:szCs w:val="18"/>
              </w:rPr>
            </w:pPr>
            <w:r>
              <w:rPr>
                <w:rFonts w:ascii="Times New Roman" w:hAnsi="Times New Roman"/>
                <w:sz w:val="18"/>
                <w:szCs w:val="18"/>
              </w:rPr>
              <w:t>9,329.65</w:t>
            </w:r>
          </w:p>
        </w:tc>
        <w:tc>
          <w:tcPr>
            <w:tcW w:w="1095" w:type="dxa"/>
            <w:vAlign w:val="center"/>
          </w:tcPr>
          <w:p>
            <w:pPr>
              <w:jc w:val="right"/>
              <w:rPr>
                <w:rFonts w:ascii="Times New Roman" w:hAnsi="Times New Roman"/>
                <w:sz w:val="18"/>
                <w:szCs w:val="18"/>
              </w:rPr>
            </w:pPr>
            <w:r>
              <w:rPr>
                <w:rFonts w:ascii="Times New Roman" w:hAnsi="Times New Roman"/>
                <w:sz w:val="18"/>
                <w:szCs w:val="18"/>
              </w:rPr>
              <w:t>2,593.07</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750.00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9,329.65</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2,593.07</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2,500.00</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3,189.54</w:t>
            </w:r>
          </w:p>
        </w:tc>
        <w:tc>
          <w:tcPr>
            <w:tcW w:w="1095" w:type="dxa"/>
            <w:vAlign w:val="center"/>
          </w:tcPr>
          <w:p>
            <w:pPr>
              <w:jc w:val="right"/>
              <w:rPr>
                <w:rFonts w:ascii="Times New Roman" w:hAnsi="Times New Roman"/>
                <w:sz w:val="18"/>
                <w:szCs w:val="18"/>
              </w:rPr>
            </w:pPr>
            <w:r>
              <w:rPr>
                <w:rFonts w:ascii="Times New Roman" w:hAnsi="Times New Roman"/>
                <w:sz w:val="18"/>
                <w:szCs w:val="18"/>
              </w:rPr>
              <w:t>8,889.51</w:t>
            </w:r>
          </w:p>
        </w:tc>
        <w:tc>
          <w:tcPr>
            <w:tcW w:w="1095" w:type="dxa"/>
            <w:vAlign w:val="center"/>
          </w:tcPr>
          <w:p>
            <w:pPr>
              <w:jc w:val="right"/>
              <w:rPr>
                <w:rFonts w:ascii="Times New Roman" w:hAnsi="Times New Roman"/>
                <w:sz w:val="18"/>
                <w:szCs w:val="18"/>
              </w:rPr>
            </w:pPr>
            <w:r>
              <w:rPr>
                <w:rFonts w:ascii="Times New Roman" w:hAnsi="Times New Roman"/>
                <w:sz w:val="18"/>
                <w:szCs w:val="18"/>
              </w:rPr>
              <w:t>1,855.37</w:t>
            </w:r>
          </w:p>
        </w:tc>
        <w:tc>
          <w:tcPr>
            <w:tcW w:w="1095" w:type="dxa"/>
            <w:vAlign w:val="center"/>
          </w:tcPr>
          <w:p>
            <w:pPr>
              <w:jc w:val="right"/>
              <w:rPr>
                <w:rFonts w:ascii="Times New Roman" w:hAnsi="Times New Roman"/>
                <w:sz w:val="18"/>
                <w:szCs w:val="18"/>
              </w:rPr>
            </w:pPr>
            <w:r>
              <w:rPr>
                <w:rFonts w:ascii="Times New Roman" w:hAnsi="Times New Roman"/>
                <w:sz w:val="18"/>
                <w:szCs w:val="18"/>
              </w:rPr>
              <w:t>83.75</w:t>
            </w:r>
          </w:p>
        </w:tc>
        <w:tc>
          <w:tcPr>
            <w:tcW w:w="1095" w:type="dxa"/>
            <w:vAlign w:val="center"/>
          </w:tcPr>
          <w:p>
            <w:pPr>
              <w:jc w:val="right"/>
              <w:rPr>
                <w:rFonts w:ascii="Times New Roman" w:hAnsi="Times New Roman"/>
                <w:sz w:val="18"/>
                <w:szCs w:val="18"/>
              </w:rPr>
            </w:pPr>
            <w:r>
              <w:rPr>
                <w:rFonts w:ascii="Times New Roman" w:hAnsi="Times New Roman"/>
                <w:sz w:val="18"/>
                <w:szCs w:val="18"/>
              </w:rPr>
              <w:t>83.75</w:t>
            </w:r>
          </w:p>
        </w:tc>
        <w:tc>
          <w:tcPr>
            <w:tcW w:w="1095" w:type="dxa"/>
            <w:vAlign w:val="center"/>
          </w:tcPr>
          <w:p>
            <w:pPr>
              <w:jc w:val="right"/>
              <w:rPr>
                <w:rFonts w:ascii="Times New Roman" w:hAnsi="Times New Roman"/>
                <w:sz w:val="18"/>
                <w:szCs w:val="18"/>
              </w:rPr>
            </w:pPr>
            <w:r>
              <w:rPr>
                <w:rFonts w:ascii="Times New Roman" w:hAnsi="Times New Roman"/>
                <w:sz w:val="18"/>
                <w:szCs w:val="18"/>
              </w:rPr>
              <w:t>83.75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3,144.91</w:t>
            </w:r>
          </w:p>
        </w:tc>
        <w:tc>
          <w:tcPr>
            <w:tcW w:w="1095" w:type="dxa"/>
            <w:vAlign w:val="center"/>
          </w:tcPr>
          <w:p>
            <w:pPr>
              <w:jc w:val="right"/>
              <w:rPr>
                <w:rFonts w:ascii="Times New Roman" w:hAnsi="Times New Roman"/>
                <w:sz w:val="18"/>
                <w:szCs w:val="18"/>
              </w:rPr>
            </w:pPr>
            <w:r>
              <w:rPr>
                <w:rFonts w:ascii="Times New Roman" w:hAnsi="Times New Roman"/>
                <w:sz w:val="18"/>
                <w:szCs w:val="18"/>
              </w:rPr>
              <w:t>8,805.76</w:t>
            </w:r>
          </w:p>
        </w:tc>
        <w:tc>
          <w:tcPr>
            <w:tcW w:w="1095" w:type="dxa"/>
            <w:vAlign w:val="center"/>
          </w:tcPr>
          <w:p>
            <w:pPr>
              <w:jc w:val="right"/>
              <w:rPr>
                <w:rFonts w:ascii="Times New Roman" w:hAnsi="Times New Roman"/>
                <w:sz w:val="18"/>
                <w:szCs w:val="18"/>
              </w:rPr>
            </w:pPr>
            <w:r>
              <w:rPr>
                <w:rFonts w:ascii="Times New Roman" w:hAnsi="Times New Roman"/>
                <w:sz w:val="18"/>
                <w:szCs w:val="18"/>
              </w:rPr>
              <w:t>628.98</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1,142.63</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2.75</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41.88</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60.46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440.15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737.70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60.46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500.61</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1,238.31</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1,154.56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1,070.81</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987.06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11,119.87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26,292.59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10,079.65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11,119.87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13,712.94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4,983.71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2,541.88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21,962.49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12,579.65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4,899.96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6,042.59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6,136.16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-2,541.88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4,330.10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903.31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819.56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6,955.73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6,871.98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4,330.10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4,330.10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4,330.10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4,330.10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4,330.10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2.30</w:t>
            </w: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项目二：儋州市滨海新区基础设施建设工程（三期）</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12,500.00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36,879.74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15,000.00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4,900.90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10,000.00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36,879.74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15,000.00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4,900.90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12,276.78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36,136.40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12,959.70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5,462.28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12,232.15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36,052.65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12,875.95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3,218.99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2,159.54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2.75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223.22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743.34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2,040.30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-561.38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223.22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966.56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3,006.86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2,445.48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2,361.73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2,277.98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7,662.28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76,942.92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61,879.74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7,662.28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12,563.18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5,918.19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73,255.85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64,379.74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3,376.32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5,535.86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2,500.00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41.88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837.50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-83.75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1,744.09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3,687.07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2,194.23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2,110.48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2,026.73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1,942.98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3,687.07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3,687.07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3,687.07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3,687.07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3,687.07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2.10</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项目三：儋州市滨海新区中央大道</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21,536.63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11,500.00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1,089.09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21,536.63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11,500.00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1,089.09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1,426.78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21,099.06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10,411.24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2,257.00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50.25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21,048.81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10,360.99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1,726.83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479.92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25.13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73.22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437.57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1,088.76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-1,167.91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73.22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510.80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1,599.56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431.65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381.40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331.15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5,295.17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40,920.89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33,036.63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5,295.17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6,384.26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2,383.62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1,525.13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39,354.07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34,536.63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2,333.37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2,813.29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1,500.00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25.13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502.50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2,911.55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-1,525.13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1,566.82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280.90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3,192.45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3,142.20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3,091.95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1,566.82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1,566.82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1,566.82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1,566.82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1,566.82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1.78</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项目四：儋州市滨海新区基础设施建设工程（二期）</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977.54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1,633.63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977.54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800.00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1,633.63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1,688.81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983.04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799.16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1,151.19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63.65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1,654.89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919.39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735.51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367.75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719.79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2.09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31.83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211.19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0.84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482.44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211.19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205.70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206.54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688.98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625.33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561.68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6,896.05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12,207.22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1,777.54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6,896.05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8,529.68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4,970.27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9,974.36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3,677.54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3,038.44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3,758.23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2.09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1,900.00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1,900.00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31.83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636.50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-63.65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1,925.78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2,232.86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498.03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434.38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370.73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307.08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2,232.86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2,232.86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2,232.86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2,232.86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2,232.86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1.88</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项目五：海南省儋州市中和镇历史文化名镇街道立面改造及配套工程</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9,865.24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1,473.37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5,965.37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1,682.50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9,865.24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1,473.37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3,765.37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1,682.50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8,302.51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1,534.95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1,492.83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5,147.76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1,683.50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73.70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8,302.51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1,534.95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1,492.83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5,108.49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865.20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744.60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2.42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36.85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1,562.73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-61.58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-1,492.83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817.61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1,562.73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1,501.15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8.32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8.32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825.93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824.93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751.23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677.53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603.83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530.13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7,297.41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26,283.89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15,103.98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7,297.41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8,979.91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3,303.19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2,236.85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24,217.49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17,303.98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3,229.49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3,974.09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2,200.00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36.85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737.00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-73.70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3,994.22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-2,236.85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2,066.40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456.43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382.73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309.03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4,303.25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2,066.40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2,066.40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2,066.40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2,066.40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2,066.40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1.70</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项目六：儋州市滨海未来社区（一期）</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84,761.60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84,000.00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1,633.63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84,761.60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84,000.00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1,633.63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1,223.21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83,874.35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68,068.19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17,769.51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43.55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1,200.00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83,830.80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68,024.64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17,006.16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719.80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21.78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76.79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887.25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15,931.81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-16,135.88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76.79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964.05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16,895.86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759.97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716.42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672.87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5,363.60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177,058.83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168,761.60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5,363.60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6,997.23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3,685.05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174,881.61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170,061.60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2,363.28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3,083.08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1,300.00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21.78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435.50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1,678.55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2,177.22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629.32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585.77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542.22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498.67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2,177.22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2,177.22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2,177.22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2,177.22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2,177.22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2.25</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项目七：儋州市那大镇云月路消防站拆除重建工程</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633.74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1,555.84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300.00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633.74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1,555.84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967.85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620.55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815.82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33.50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950.00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587.05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96.69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685.63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16.75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32.15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13.19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740.02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32.15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45.34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785.36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751.86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718.36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684.86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3,309.48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6,799.06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933.74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3,309.48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4,865.32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1,491.93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1,016.75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5,413.90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1,933.74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1,458.43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2,144.06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1,000.00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1,000.00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16.75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335.00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1,817.55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-1,016.75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1,385.16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651.36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2,468.91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2,435.41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2,401.91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1,385.16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1,385.16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1,385.16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1,385.16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1,385.16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2.04</w:t>
            </w:r>
          </w:p>
        </w:tc>
      </w:tr>
    </w:tbl>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0" w:firstLineChars="0"/>
        <w:rPr>
          <w:rFonts w:ascii="宋体" w:hAnsi="宋体" w:eastAsia="宋体"/>
          <w:b/>
          <w:szCs w:val="21"/>
        </w:rPr>
      </w:pPr>
    </w:p>
    <w:p>
      <w:pPr>
        <w:pStyle w:val="19"/>
        <w:tabs>
          <w:tab w:val="left" w:pos="993"/>
          <w:tab w:val="left" w:pos="1276"/>
        </w:tabs>
        <w:spacing w:before="156" w:beforeLines="50" w:after="156" w:afterLines="50" w:line="360" w:lineRule="auto"/>
        <w:ind w:firstLine="422"/>
        <w:outlineLvl w:val="1"/>
        <w:rPr>
          <w:rFonts w:ascii="宋体" w:hAnsi="宋体" w:eastAsia="宋体"/>
          <w:b/>
          <w:szCs w:val="21"/>
        </w:rPr>
      </w:pPr>
      <w:r>
        <w:rPr>
          <w:rFonts w:hint="eastAsia" w:ascii="宋体" w:hAnsi="宋体" w:eastAsia="宋体"/>
          <w:b/>
          <w:szCs w:val="21"/>
        </w:rPr>
        <w:t>项目八：雅星镇生态养殖产业基地配套基础设施建设项目</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8,896.51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1,109.60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1,149.46 </w:t>
            </w: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6,914.85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832.20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9,757.61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4,284.25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1,862.44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6,598.56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1,107.21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9,500.00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3,800.00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1,342.49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2,583.97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3,046.37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416.97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555.96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15.48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2.20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484.25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c>
          <w:tcPr>
            <w:tcW w:w="1095" w:type="dxa"/>
            <w:shd w:val="clear" w:color="auto" w:fill="FFFFFF"/>
            <w:vAlign w:val="center"/>
          </w:tcPr>
          <w:p>
            <w:pPr>
              <w:jc w:val="right"/>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4,319.39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-4,284.25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137.56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2,297.95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2.39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4,319.39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35.14 </w:t>
            </w:r>
          </w:p>
        </w:tc>
        <w:tc>
          <w:tcPr>
            <w:tcW w:w="1095" w:type="dxa"/>
            <w:vAlign w:val="center"/>
          </w:tcPr>
          <w:p>
            <w:pPr>
              <w:jc w:val="right"/>
              <w:rPr>
                <w:rFonts w:ascii="Times New Roman" w:hAnsi="Times New Roman"/>
                <w:sz w:val="18"/>
                <w:szCs w:val="18"/>
              </w:rPr>
            </w:pPr>
            <w:r>
              <w:rPr>
                <w:rFonts w:ascii="Times New Roman" w:hAnsi="Times New Roman"/>
                <w:sz w:val="18"/>
                <w:szCs w:val="18"/>
              </w:rPr>
              <w:t xml:space="preserve"> 172.70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2,470.65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2,473.04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2,475.44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2,477.83 </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2,480.22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50,781.88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87,960.99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1,149.46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49,672.28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56,587.13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14,147.40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1,107.21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3,073.71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1,040.21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1,040.21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36,758.46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73,273.09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17,226.46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21,883.38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24,929.75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7,088.45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17.68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7,263.75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p>
        </w:tc>
        <w:tc>
          <w:tcPr>
            <w:tcW w:w="1229" w:type="dxa"/>
            <w:vAlign w:val="center"/>
          </w:tcPr>
          <w:p>
            <w:pPr>
              <w:jc w:val="right"/>
              <w:rPr>
                <w:rFonts w:ascii="Times New Roman" w:hAnsi="Times New Roman"/>
                <w:sz w:val="18"/>
                <w:szCs w:val="18"/>
              </w:rPr>
            </w:pP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2,000.00 </w:t>
            </w:r>
          </w:p>
        </w:tc>
        <w:tc>
          <w:tcPr>
            <w:tcW w:w="1229" w:type="dxa"/>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2,000.00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67.00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33.50 </w:t>
            </w:r>
          </w:p>
        </w:tc>
        <w:tc>
          <w:tcPr>
            <w:tcW w:w="1229" w:type="dxa"/>
            <w:shd w:val="clear" w:color="auto" w:fill="FFFFFF"/>
            <w:vAlign w:val="center"/>
          </w:tcPr>
          <w:p>
            <w:pPr>
              <w:jc w:val="right"/>
              <w:rPr>
                <w:rFonts w:ascii="Times New Roman" w:hAnsi="Times New Roman"/>
                <w:sz w:val="18"/>
                <w:szCs w:val="18"/>
              </w:rPr>
            </w:pPr>
          </w:p>
        </w:tc>
        <w:tc>
          <w:tcPr>
            <w:tcW w:w="1228"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670.00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2.39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-1,964.11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69.39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69.39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14,023.42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14,687.90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2,482.62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2,485.01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2,487.40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2,489.80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525.69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595.08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664.48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14,687.90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14,687.90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1.61</w:t>
            </w:r>
          </w:p>
        </w:tc>
      </w:tr>
    </w:tbl>
    <w:p>
      <w:pPr>
        <w:spacing w:line="360" w:lineRule="auto"/>
        <w:ind w:firstLine="420" w:firstLineChars="200"/>
        <w:rPr>
          <w:rFonts w:ascii="宋体" w:hAnsi="宋体" w:eastAsia="宋体" w:cs="宋体"/>
          <w:color w:val="000000"/>
          <w:kern w:val="0"/>
          <w:szCs w:val="21"/>
        </w:rPr>
        <w:sectPr>
          <w:footerReference r:id="rId4" w:type="default"/>
          <w:pgSz w:w="16838" w:h="11906" w:orient="landscape"/>
          <w:pgMar w:top="284" w:right="1440" w:bottom="284" w:left="1440" w:header="851" w:footer="992" w:gutter="0"/>
          <w:cols w:space="425" w:num="1"/>
          <w:docGrid w:type="linesAndChars" w:linePitch="312" w:charSpace="0"/>
        </w:sectPr>
      </w:pP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综上，项目专项债券存续期间项目资金平衡状况较好。</w:t>
      </w: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项目一：上海师范大学附属儋州实验学校周边路网工程</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4,330.10</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7,670.35</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2.75</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7,667.60</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3,337.50</w:t>
      </w:r>
      <w:r>
        <w:rPr>
          <w:rFonts w:hint="eastAsia" w:ascii="宋体" w:hAnsi="宋体" w:eastAsia="宋体" w:cs="宋体"/>
          <w:color w:val="000000"/>
          <w:kern w:val="0"/>
          <w:szCs w:val="21"/>
        </w:rPr>
        <w:t>万元，发债本息覆盖倍数可达2.30倍。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2.24 </w:t>
            </w:r>
          </w:p>
        </w:tc>
      </w:tr>
    </w:tbl>
    <w:p>
      <w:pPr>
        <w:spacing w:line="360" w:lineRule="auto"/>
        <w:jc w:val="center"/>
        <w:rPr>
          <w:rFonts w:hint="eastAsia"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项目二：儋州市滨海新区基础设施建设工程（三期）</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3,687.07</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7,027.32</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2.75</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7,024.57</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3,337.50</w:t>
      </w:r>
      <w:r>
        <w:rPr>
          <w:rFonts w:hint="eastAsia" w:ascii="宋体" w:hAnsi="宋体" w:eastAsia="宋体" w:cs="宋体"/>
          <w:color w:val="000000"/>
          <w:kern w:val="0"/>
          <w:szCs w:val="21"/>
        </w:rPr>
        <w:t>万元，发债本息覆盖倍数可达2.10倍。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2.05 </w:t>
            </w:r>
          </w:p>
        </w:tc>
      </w:tr>
    </w:tbl>
    <w:p>
      <w:pPr>
        <w:spacing w:line="360" w:lineRule="auto"/>
        <w:jc w:val="center"/>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项目三：</w:t>
      </w:r>
      <w:r>
        <w:rPr>
          <w:rFonts w:ascii="宋体" w:hAnsi="宋体" w:eastAsia="宋体"/>
          <w:b/>
          <w:szCs w:val="21"/>
        </w:rPr>
        <w:t xml:space="preserve"> </w:t>
      </w:r>
      <w:r>
        <w:rPr>
          <w:rFonts w:hint="eastAsia" w:ascii="宋体" w:hAnsi="宋体" w:eastAsia="宋体"/>
          <w:b/>
          <w:szCs w:val="21"/>
        </w:rPr>
        <w:t>儋州市滨海新区中央大道</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1,566.82</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3,570.97</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1.65</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3,569.32</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2,002.50</w:t>
      </w:r>
      <w:r>
        <w:rPr>
          <w:rFonts w:hint="eastAsia" w:ascii="宋体" w:hAnsi="宋体" w:eastAsia="宋体" w:cs="宋体"/>
          <w:color w:val="000000"/>
          <w:kern w:val="0"/>
          <w:szCs w:val="21"/>
        </w:rPr>
        <w:t>万元，发债本息覆盖倍数可达</w:t>
      </w:r>
      <w:r>
        <w:rPr>
          <w:rFonts w:ascii="宋体" w:hAnsi="宋体" w:eastAsia="宋体" w:cs="宋体"/>
          <w:color w:val="000000"/>
          <w:kern w:val="0"/>
          <w:szCs w:val="21"/>
        </w:rPr>
        <w:t>1.</w:t>
      </w:r>
      <w:r>
        <w:rPr>
          <w:rFonts w:hint="eastAsia" w:ascii="宋体" w:hAnsi="宋体" w:eastAsia="宋体" w:cs="宋体"/>
          <w:color w:val="000000"/>
          <w:kern w:val="0"/>
          <w:szCs w:val="21"/>
        </w:rPr>
        <w:t>78倍。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1.74 </w:t>
            </w:r>
          </w:p>
        </w:tc>
      </w:tr>
    </w:tbl>
    <w:p>
      <w:pPr>
        <w:spacing w:line="360" w:lineRule="auto"/>
        <w:jc w:val="center"/>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项目四：</w:t>
      </w:r>
      <w:r>
        <w:rPr>
          <w:rFonts w:ascii="宋体" w:hAnsi="宋体" w:eastAsia="宋体"/>
          <w:b/>
          <w:szCs w:val="21"/>
        </w:rPr>
        <w:t xml:space="preserve"> </w:t>
      </w:r>
      <w:r>
        <w:rPr>
          <w:rFonts w:hint="eastAsia" w:ascii="宋体" w:hAnsi="宋体" w:eastAsia="宋体"/>
          <w:b/>
          <w:szCs w:val="21"/>
        </w:rPr>
        <w:t>儋州市滨海新区基础设施建设工程（二期）</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2,232.86</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4,771.45</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2.09</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4,769.36</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2,536.50</w:t>
      </w:r>
      <w:r>
        <w:rPr>
          <w:rFonts w:hint="eastAsia" w:ascii="宋体" w:hAnsi="宋体" w:eastAsia="宋体" w:cs="宋体"/>
          <w:color w:val="000000"/>
          <w:kern w:val="0"/>
          <w:szCs w:val="21"/>
        </w:rPr>
        <w:t>万元，发债本息覆盖倍数可达1.88倍。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1.83 </w:t>
            </w:r>
          </w:p>
        </w:tc>
      </w:tr>
    </w:tbl>
    <w:p>
      <w:pPr>
        <w:spacing w:line="360" w:lineRule="auto"/>
        <w:jc w:val="center"/>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项目五：</w:t>
      </w:r>
      <w:r>
        <w:rPr>
          <w:rFonts w:ascii="宋体" w:hAnsi="宋体" w:eastAsia="宋体"/>
          <w:b/>
          <w:szCs w:val="21"/>
        </w:rPr>
        <w:t xml:space="preserve"> </w:t>
      </w:r>
      <w:r>
        <w:rPr>
          <w:rFonts w:hint="eastAsia" w:ascii="宋体" w:hAnsi="宋体" w:eastAsia="宋体"/>
          <w:b/>
          <w:szCs w:val="21"/>
        </w:rPr>
        <w:t>海南省儋州市中和镇历史文化名镇街道立面改造及配套工程</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2,066.40</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5,005.82</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2.42</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5,003.40</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2,937.00</w:t>
      </w:r>
      <w:r>
        <w:rPr>
          <w:rFonts w:hint="eastAsia" w:ascii="宋体" w:hAnsi="宋体" w:eastAsia="宋体" w:cs="宋体"/>
          <w:color w:val="000000"/>
          <w:kern w:val="0"/>
          <w:szCs w:val="21"/>
        </w:rPr>
        <w:t>万元，发债本息覆盖倍数可达1.70倍。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1.66 </w:t>
            </w:r>
          </w:p>
        </w:tc>
      </w:tr>
    </w:tbl>
    <w:p>
      <w:pPr>
        <w:spacing w:line="360" w:lineRule="auto"/>
        <w:jc w:val="both"/>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项目六：</w:t>
      </w:r>
      <w:r>
        <w:rPr>
          <w:rFonts w:ascii="宋体" w:hAnsi="宋体" w:eastAsia="宋体"/>
          <w:b/>
          <w:szCs w:val="21"/>
        </w:rPr>
        <w:t xml:space="preserve"> </w:t>
      </w:r>
      <w:r>
        <w:rPr>
          <w:rFonts w:hint="eastAsia" w:ascii="宋体" w:hAnsi="宋体" w:eastAsia="宋体"/>
          <w:b/>
          <w:szCs w:val="21"/>
        </w:rPr>
        <w:t>儋州市滨海未来社区（一期）</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2,177.22</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3,914.15</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1.43</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3,912.72</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1,735.50</w:t>
      </w:r>
      <w:r>
        <w:rPr>
          <w:rFonts w:hint="eastAsia" w:ascii="宋体" w:hAnsi="宋体" w:eastAsia="宋体" w:cs="宋体"/>
          <w:color w:val="000000"/>
          <w:kern w:val="0"/>
          <w:szCs w:val="21"/>
        </w:rPr>
        <w:t>万元，发债本息覆盖倍数可达 2.25倍。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2.20 </w:t>
            </w:r>
          </w:p>
        </w:tc>
      </w:tr>
    </w:tbl>
    <w:p>
      <w:pPr>
        <w:spacing w:line="360" w:lineRule="auto"/>
        <w:jc w:val="center"/>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项目七：</w:t>
      </w:r>
      <w:r>
        <w:rPr>
          <w:rFonts w:ascii="宋体" w:hAnsi="宋体" w:eastAsia="宋体"/>
          <w:b/>
          <w:szCs w:val="21"/>
        </w:rPr>
        <w:t xml:space="preserve"> </w:t>
      </w:r>
      <w:r>
        <w:rPr>
          <w:rFonts w:hint="eastAsia" w:ascii="宋体" w:hAnsi="宋体" w:eastAsia="宋体"/>
          <w:b/>
          <w:szCs w:val="21"/>
        </w:rPr>
        <w:t>儋州市那大镇云月路消防站拆除重建工程</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1,385.16</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2,721.26</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1.10</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2,720.16</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1,335.00</w:t>
      </w:r>
      <w:r>
        <w:rPr>
          <w:rFonts w:hint="eastAsia" w:ascii="宋体" w:hAnsi="宋体" w:eastAsia="宋体" w:cs="宋体"/>
          <w:color w:val="000000"/>
          <w:kern w:val="0"/>
          <w:szCs w:val="21"/>
        </w:rPr>
        <w:t>万元，发债本息覆盖倍数可达2.0</w:t>
      </w:r>
      <w:r>
        <w:rPr>
          <w:rFonts w:ascii="宋体" w:hAnsi="宋体" w:eastAsia="宋体" w:cs="宋体"/>
          <w:color w:val="000000"/>
          <w:kern w:val="0"/>
          <w:szCs w:val="21"/>
        </w:rPr>
        <w:t>4</w:t>
      </w:r>
      <w:r>
        <w:rPr>
          <w:rFonts w:hint="eastAsia" w:ascii="宋体" w:hAnsi="宋体" w:eastAsia="宋体" w:cs="宋体"/>
          <w:color w:val="000000"/>
          <w:kern w:val="0"/>
          <w:szCs w:val="21"/>
        </w:rPr>
        <w:t>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1.99 </w:t>
            </w:r>
          </w:p>
        </w:tc>
      </w:tr>
    </w:tbl>
    <w:p>
      <w:pPr>
        <w:spacing w:line="360" w:lineRule="auto"/>
        <w:jc w:val="center"/>
        <w:rPr>
          <w:rFonts w:ascii="宋体" w:hAnsi="宋体" w:eastAsia="宋体"/>
          <w:b/>
          <w:szCs w:val="21"/>
        </w:rPr>
      </w:pPr>
    </w:p>
    <w:p>
      <w:pPr>
        <w:pStyle w:val="19"/>
        <w:tabs>
          <w:tab w:val="left" w:pos="993"/>
          <w:tab w:val="left" w:pos="1276"/>
        </w:tabs>
        <w:spacing w:before="156" w:beforeLines="50" w:after="156" w:afterLines="50" w:line="360" w:lineRule="auto"/>
        <w:ind w:firstLine="422"/>
        <w:rPr>
          <w:rFonts w:ascii="宋体" w:hAnsi="宋体" w:eastAsia="宋体"/>
          <w:b/>
          <w:szCs w:val="21"/>
        </w:rPr>
      </w:pPr>
      <w:r>
        <w:rPr>
          <w:rFonts w:hint="eastAsia" w:ascii="宋体" w:hAnsi="宋体" w:eastAsia="宋体"/>
          <w:b/>
          <w:szCs w:val="21"/>
        </w:rPr>
        <w:t>项目八：</w:t>
      </w:r>
      <w:r>
        <w:rPr>
          <w:rFonts w:ascii="宋体" w:hAnsi="宋体" w:eastAsia="宋体"/>
          <w:b/>
          <w:szCs w:val="21"/>
        </w:rPr>
        <w:t xml:space="preserve"> </w:t>
      </w:r>
      <w:r>
        <w:rPr>
          <w:rFonts w:hint="eastAsia" w:ascii="宋体" w:hAnsi="宋体" w:eastAsia="宋体"/>
          <w:b/>
          <w:szCs w:val="21"/>
        </w:rPr>
        <w:t>雅星镇生态养殖产业基地配套基础设施建设项目</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ascii="宋体" w:hAnsi="宋体" w:eastAsia="宋体" w:cs="宋体"/>
          <w:color w:val="000000"/>
          <w:kern w:val="0"/>
          <w:szCs w:val="21"/>
        </w:rPr>
        <w:t>14,687.90</w:t>
      </w:r>
      <w:r>
        <w:rPr>
          <w:rFonts w:hint="eastAsia" w:ascii="宋体" w:hAnsi="宋体" w:eastAsia="宋体" w:cs="宋体"/>
          <w:color w:val="000000"/>
          <w:kern w:val="0"/>
          <w:szCs w:val="21"/>
        </w:rPr>
        <w:t>万元。在专项债券存续期间，项目收益资金净额为</w:t>
      </w:r>
      <w:r>
        <w:rPr>
          <w:rFonts w:ascii="宋体" w:hAnsi="宋体" w:eastAsia="宋体" w:cs="宋体"/>
          <w:color w:val="000000"/>
          <w:kern w:val="0"/>
          <w:szCs w:val="21"/>
        </w:rPr>
        <w:t>38,716.33</w:t>
      </w:r>
      <w:r>
        <w:rPr>
          <w:rFonts w:hint="eastAsia" w:ascii="宋体" w:hAnsi="宋体" w:eastAsia="宋体" w:cs="宋体"/>
          <w:color w:val="000000"/>
          <w:kern w:val="0"/>
          <w:szCs w:val="21"/>
        </w:rPr>
        <w:t>万元，扣除发行费用</w:t>
      </w:r>
      <w:r>
        <w:rPr>
          <w:rFonts w:ascii="宋体" w:hAnsi="宋体" w:eastAsia="宋体" w:cs="宋体"/>
          <w:color w:val="000000"/>
          <w:kern w:val="0"/>
          <w:szCs w:val="21"/>
        </w:rPr>
        <w:t>17.68</w:t>
      </w:r>
      <w:r>
        <w:rPr>
          <w:rFonts w:hint="eastAsia" w:ascii="宋体" w:hAnsi="宋体" w:eastAsia="宋体" w:cs="宋体"/>
          <w:color w:val="000000"/>
          <w:kern w:val="0"/>
          <w:szCs w:val="21"/>
        </w:rPr>
        <w:t>万元，可用于偿还专项债券本息的资金余额为</w:t>
      </w:r>
      <w:r>
        <w:rPr>
          <w:rFonts w:ascii="宋体" w:hAnsi="宋体" w:eastAsia="宋体" w:cs="宋体"/>
          <w:color w:val="000000"/>
          <w:kern w:val="0"/>
          <w:szCs w:val="21"/>
        </w:rPr>
        <w:t>38,698.65</w:t>
      </w:r>
      <w:r>
        <w:rPr>
          <w:rFonts w:hint="eastAsia" w:ascii="宋体" w:hAnsi="宋体" w:eastAsia="宋体" w:cs="宋体"/>
          <w:color w:val="000000"/>
          <w:kern w:val="0"/>
          <w:szCs w:val="21"/>
        </w:rPr>
        <w:t>万元；专项债券还本付息累计资金流出</w:t>
      </w:r>
      <w:r>
        <w:rPr>
          <w:rFonts w:ascii="宋体" w:hAnsi="宋体" w:eastAsia="宋体" w:cs="宋体"/>
          <w:color w:val="000000"/>
          <w:kern w:val="0"/>
          <w:szCs w:val="21"/>
        </w:rPr>
        <w:t>24,010.75</w:t>
      </w:r>
      <w:r>
        <w:rPr>
          <w:rFonts w:hint="eastAsia" w:ascii="宋体" w:hAnsi="宋体" w:eastAsia="宋体" w:cs="宋体"/>
          <w:color w:val="000000"/>
          <w:kern w:val="0"/>
          <w:szCs w:val="21"/>
        </w:rPr>
        <w:t>万元，发债本息覆盖倍数可达1.61倍。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来收入下降10% 的情况下，项目的债券本息覆盖率仍然＞1；当项目的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1.56 </w:t>
            </w:r>
          </w:p>
        </w:tc>
      </w:tr>
    </w:tbl>
    <w:p>
      <w:pPr>
        <w:spacing w:line="360" w:lineRule="auto"/>
        <w:jc w:val="center"/>
        <w:rPr>
          <w:rFonts w:ascii="宋体" w:hAnsi="宋体" w:eastAsia="宋体"/>
          <w:b/>
          <w:szCs w:val="21"/>
        </w:rPr>
      </w:pP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潜在风险评估</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项目面临的主要风险包括政策风险、项目实施与管理风险、财务风险与社会风险等因素。</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影响项目施工进度或正常运营的风险及控制措施</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1、政策风险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包括政治变动、国家法规、产业政策、货币政策、财政政策等国家政策的变化对承办单位投资的相关产业产生影响，</w:t>
      </w:r>
      <w:r>
        <w:rPr>
          <w:rFonts w:ascii="宋体" w:hAnsi="宋体" w:eastAsia="宋体" w:cs="宋体"/>
          <w:color w:val="000000"/>
          <w:kern w:val="0"/>
          <w:szCs w:val="21"/>
        </w:rPr>
        <w:t>可能导致所投资项目的市场变动</w:t>
      </w:r>
      <w:r>
        <w:rPr>
          <w:rFonts w:hint="eastAsia" w:ascii="宋体" w:hAnsi="宋体" w:eastAsia="宋体" w:cs="宋体"/>
          <w:color w:val="000000"/>
          <w:kern w:val="0"/>
          <w:szCs w:val="21"/>
        </w:rPr>
        <w:t>，</w:t>
      </w:r>
      <w:r>
        <w:rPr>
          <w:rFonts w:ascii="宋体" w:hAnsi="宋体" w:eastAsia="宋体" w:cs="宋体"/>
          <w:color w:val="000000"/>
          <w:kern w:val="0"/>
          <w:szCs w:val="21"/>
        </w:rPr>
        <w:t>从而</w:t>
      </w:r>
      <w:r>
        <w:rPr>
          <w:rFonts w:hint="eastAsia" w:ascii="宋体" w:hAnsi="宋体" w:eastAsia="宋体" w:cs="宋体"/>
          <w:color w:val="000000"/>
          <w:kern w:val="0"/>
          <w:szCs w:val="21"/>
        </w:rPr>
        <w:t>影响项目建设。本项目为公益性民生项目，</w:t>
      </w:r>
      <w:r>
        <w:rPr>
          <w:rFonts w:ascii="宋体" w:hAnsi="宋体" w:eastAsia="宋体" w:cs="宋体"/>
          <w:color w:val="000000"/>
          <w:kern w:val="0"/>
          <w:szCs w:val="21"/>
        </w:rPr>
        <w:t>面临的政策性风险较小。</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2、项目实施与管理风险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项目建设期间严格执行文明施工标准，</w:t>
      </w:r>
      <w:r>
        <w:rPr>
          <w:rFonts w:ascii="宋体" w:hAnsi="宋体" w:eastAsia="宋体" w:cs="宋体"/>
          <w:color w:val="000000"/>
          <w:kern w:val="0"/>
          <w:szCs w:val="21"/>
        </w:rPr>
        <w:t>确保项目对民众生活的影响降至最低。</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3、财务风险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项目总投资规模较大，</w:t>
      </w:r>
      <w:r>
        <w:rPr>
          <w:rFonts w:ascii="宋体" w:hAnsi="宋体" w:eastAsia="宋体" w:cs="宋体"/>
          <w:color w:val="000000"/>
          <w:kern w:val="0"/>
          <w:szCs w:val="21"/>
        </w:rPr>
        <w:t>可能会形成由于资金落实不到位</w:t>
      </w:r>
      <w:r>
        <w:rPr>
          <w:rFonts w:hint="eastAsia" w:ascii="宋体" w:hAnsi="宋体" w:eastAsia="宋体" w:cs="宋体"/>
          <w:color w:val="000000"/>
          <w:kern w:val="0"/>
          <w:szCs w:val="21"/>
        </w:rPr>
        <w:t>，</w:t>
      </w:r>
      <w:r>
        <w:rPr>
          <w:rFonts w:ascii="宋体" w:hAnsi="宋体" w:eastAsia="宋体" w:cs="宋体"/>
          <w:color w:val="000000"/>
          <w:kern w:val="0"/>
          <w:szCs w:val="21"/>
        </w:rPr>
        <w:t>使项目工期延长</w:t>
      </w:r>
      <w:r>
        <w:rPr>
          <w:rFonts w:hint="eastAsia" w:ascii="宋体" w:hAnsi="宋体" w:eastAsia="宋体" w:cs="宋体"/>
          <w:color w:val="000000"/>
          <w:kern w:val="0"/>
          <w:szCs w:val="21"/>
        </w:rPr>
        <w:t>，无法按时完成项目建设的风险。项目资金来源拟通过财政拨款、申请发行债券解决，</w:t>
      </w:r>
      <w:r>
        <w:rPr>
          <w:rFonts w:ascii="宋体" w:hAnsi="宋体" w:eastAsia="宋体" w:cs="宋体"/>
          <w:color w:val="000000"/>
          <w:kern w:val="0"/>
          <w:szCs w:val="21"/>
        </w:rPr>
        <w:t>在债券资金的支撑下</w:t>
      </w:r>
      <w:r>
        <w:rPr>
          <w:rFonts w:hint="eastAsia" w:ascii="宋体" w:hAnsi="宋体" w:eastAsia="宋体" w:cs="宋体"/>
          <w:color w:val="000000"/>
          <w:kern w:val="0"/>
          <w:szCs w:val="21"/>
        </w:rPr>
        <w:t>，</w:t>
      </w:r>
      <w:r>
        <w:rPr>
          <w:rFonts w:ascii="宋体" w:hAnsi="宋体" w:eastAsia="宋体" w:cs="宋体"/>
          <w:color w:val="000000"/>
          <w:kern w:val="0"/>
          <w:szCs w:val="21"/>
        </w:rPr>
        <w:t>项目的实施将会顺利进行</w:t>
      </w:r>
      <w:r>
        <w:rPr>
          <w:rFonts w:hint="eastAsia" w:ascii="宋体" w:hAnsi="宋体" w:eastAsia="宋体" w:cs="宋体"/>
          <w:color w:val="000000"/>
          <w:kern w:val="0"/>
          <w:szCs w:val="21"/>
        </w:rPr>
        <w:t>，</w:t>
      </w:r>
      <w:r>
        <w:rPr>
          <w:rFonts w:ascii="宋体" w:hAnsi="宋体" w:eastAsia="宋体" w:cs="宋体"/>
          <w:color w:val="000000"/>
          <w:kern w:val="0"/>
          <w:szCs w:val="21"/>
        </w:rPr>
        <w:t>因此</w:t>
      </w:r>
      <w:r>
        <w:rPr>
          <w:rFonts w:hint="eastAsia" w:ascii="宋体" w:hAnsi="宋体" w:eastAsia="宋体" w:cs="宋体"/>
          <w:color w:val="000000"/>
          <w:kern w:val="0"/>
          <w:szCs w:val="21"/>
        </w:rPr>
        <w:t>，</w:t>
      </w:r>
      <w:r>
        <w:rPr>
          <w:rFonts w:ascii="宋体" w:hAnsi="宋体" w:eastAsia="宋体" w:cs="宋体"/>
          <w:color w:val="000000"/>
          <w:kern w:val="0"/>
          <w:szCs w:val="21"/>
        </w:rPr>
        <w:t>项目面临的财务风</w:t>
      </w:r>
      <w:r>
        <w:rPr>
          <w:rFonts w:hint="eastAsia" w:ascii="宋体" w:hAnsi="宋体" w:eastAsia="宋体" w:cs="宋体"/>
          <w:color w:val="000000"/>
          <w:kern w:val="0"/>
          <w:szCs w:val="21"/>
        </w:rPr>
        <w:t>险较小。</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4、社会风险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项目带来的众多外来人员、大量施工机械、不可避免的施工噪声等，</w:t>
      </w:r>
      <w:r>
        <w:rPr>
          <w:rFonts w:ascii="宋体" w:hAnsi="宋体" w:eastAsia="宋体" w:cs="宋体"/>
          <w:color w:val="000000"/>
          <w:kern w:val="0"/>
          <w:szCs w:val="21"/>
        </w:rPr>
        <w:t>在项目</w:t>
      </w:r>
      <w:r>
        <w:rPr>
          <w:rFonts w:hint="eastAsia" w:ascii="宋体" w:hAnsi="宋体" w:eastAsia="宋体" w:cs="宋体"/>
          <w:color w:val="000000"/>
          <w:kern w:val="0"/>
          <w:szCs w:val="21"/>
        </w:rPr>
        <w:t>实施期间可能会对附近居民正常生活造成困扰，</w:t>
      </w:r>
      <w:r>
        <w:rPr>
          <w:rFonts w:ascii="宋体" w:hAnsi="宋体" w:eastAsia="宋体" w:cs="宋体"/>
          <w:color w:val="000000"/>
          <w:kern w:val="0"/>
          <w:szCs w:val="21"/>
        </w:rPr>
        <w:t>引起居民的抵制情绪</w:t>
      </w:r>
      <w:r>
        <w:rPr>
          <w:rFonts w:hint="eastAsia" w:ascii="宋体" w:hAnsi="宋体" w:eastAsia="宋体" w:cs="宋体"/>
          <w:color w:val="000000"/>
          <w:kern w:val="0"/>
          <w:szCs w:val="21"/>
        </w:rPr>
        <w:t>，</w:t>
      </w:r>
      <w:r>
        <w:rPr>
          <w:rFonts w:ascii="宋体" w:hAnsi="宋体" w:eastAsia="宋体" w:cs="宋体"/>
          <w:color w:val="000000"/>
          <w:kern w:val="0"/>
          <w:szCs w:val="21"/>
        </w:rPr>
        <w:t>干扰项目</w:t>
      </w:r>
      <w:r>
        <w:rPr>
          <w:rFonts w:hint="eastAsia" w:ascii="宋体" w:hAnsi="宋体" w:eastAsia="宋体" w:cs="宋体"/>
          <w:color w:val="000000"/>
          <w:kern w:val="0"/>
          <w:szCs w:val="21"/>
        </w:rPr>
        <w:t>的正常进度，</w:t>
      </w:r>
      <w:r>
        <w:rPr>
          <w:rFonts w:ascii="宋体" w:hAnsi="宋体" w:eastAsia="宋体" w:cs="宋体"/>
          <w:color w:val="000000"/>
          <w:kern w:val="0"/>
          <w:szCs w:val="21"/>
        </w:rPr>
        <w:t>处理不当可能导致项目工期无限期延长的风险。</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影响融资平衡结果的风险及控制措施</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工程项目总投资不准确风险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工程可行性研究报告中的总投资额与实际造价成本可能会发生偏差，</w:t>
      </w:r>
      <w:r>
        <w:rPr>
          <w:rFonts w:ascii="宋体" w:hAnsi="宋体" w:eastAsia="宋体" w:cs="宋体"/>
          <w:color w:val="000000"/>
          <w:kern w:val="0"/>
          <w:szCs w:val="21"/>
        </w:rPr>
        <w:t>影响资</w:t>
      </w:r>
      <w:r>
        <w:rPr>
          <w:rFonts w:hint="eastAsia" w:ascii="宋体" w:hAnsi="宋体" w:eastAsia="宋体" w:cs="宋体"/>
          <w:color w:val="000000"/>
          <w:kern w:val="0"/>
          <w:szCs w:val="21"/>
        </w:rPr>
        <w:t>金项目资金投入和发债计划安排。</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按照市政府主管部门的批复结果及时调整项目资金投入计划</w:t>
      </w:r>
      <w:r>
        <w:rPr>
          <w:rFonts w:hint="eastAsia" w:ascii="宋体" w:hAnsi="宋体" w:eastAsia="宋体" w:cs="宋体"/>
          <w:color w:val="000000"/>
          <w:kern w:val="0"/>
          <w:szCs w:val="21"/>
        </w:rPr>
        <w:t>，保障项目顺利实施。</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影响融资平衡结果的风险及控制措施</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1、投资测算不准确风险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影响本项目融资平衡最大的风险在于对未来经营预测、项目进度以及项目整体现金流测算等重要环节出现判断偏差。经营预测偏大或偏小直接导致投资总额设计偏大或偏小；</w:t>
      </w:r>
      <w:r>
        <w:rPr>
          <w:rFonts w:ascii="宋体" w:hAnsi="宋体" w:eastAsia="宋体" w:cs="宋体"/>
          <w:color w:val="000000"/>
          <w:kern w:val="0"/>
          <w:szCs w:val="21"/>
        </w:rPr>
        <w:t>对项目进度错判将导致融资节奏错乱</w:t>
      </w:r>
      <w:r>
        <w:rPr>
          <w:rFonts w:hint="eastAsia" w:ascii="宋体" w:hAnsi="宋体" w:eastAsia="宋体" w:cs="宋体"/>
          <w:color w:val="000000"/>
          <w:kern w:val="0"/>
          <w:szCs w:val="21"/>
        </w:rPr>
        <w:t>，</w:t>
      </w:r>
      <w:r>
        <w:rPr>
          <w:rFonts w:ascii="宋体" w:hAnsi="宋体" w:eastAsia="宋体" w:cs="宋体"/>
          <w:color w:val="000000"/>
          <w:kern w:val="0"/>
          <w:szCs w:val="21"/>
        </w:rPr>
        <w:t>导致资金不能及时足额</w:t>
      </w:r>
      <w:r>
        <w:rPr>
          <w:rFonts w:hint="eastAsia" w:ascii="宋体" w:hAnsi="宋体" w:eastAsia="宋体" w:cs="宋体"/>
          <w:color w:val="000000"/>
          <w:kern w:val="0"/>
          <w:szCs w:val="21"/>
        </w:rPr>
        <w:t>注入到项目或者大额资金不能充分运用的后果；</w:t>
      </w:r>
      <w:r>
        <w:rPr>
          <w:rFonts w:ascii="宋体" w:hAnsi="宋体" w:eastAsia="宋体" w:cs="宋体"/>
          <w:color w:val="000000"/>
          <w:kern w:val="0"/>
          <w:szCs w:val="21"/>
        </w:rPr>
        <w:t>整体现金流测算出现偏差将导致</w:t>
      </w:r>
      <w:r>
        <w:rPr>
          <w:rFonts w:hint="eastAsia" w:ascii="宋体" w:hAnsi="宋体" w:eastAsia="宋体" w:cs="宋体"/>
          <w:color w:val="000000"/>
          <w:kern w:val="0"/>
          <w:szCs w:val="21"/>
        </w:rPr>
        <w:t>项目可行性分析不能及时纠偏，</w:t>
      </w:r>
      <w:r>
        <w:rPr>
          <w:rFonts w:ascii="宋体" w:hAnsi="宋体" w:eastAsia="宋体" w:cs="宋体"/>
          <w:color w:val="000000"/>
          <w:kern w:val="0"/>
          <w:szCs w:val="21"/>
        </w:rPr>
        <w:t>项目资金投入和现金流入不能平衡的结果。</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债券内所含项目的可行性研究报告均聘请了国内知名研究院</w:t>
      </w:r>
      <w:r>
        <w:rPr>
          <w:rFonts w:hint="eastAsia" w:ascii="宋体" w:hAnsi="宋体" w:eastAsia="宋体" w:cs="宋体"/>
          <w:color w:val="000000"/>
          <w:kern w:val="0"/>
          <w:szCs w:val="21"/>
        </w:rPr>
        <w:t>经过大量分析论证工作后得出，</w:t>
      </w:r>
      <w:r>
        <w:rPr>
          <w:rFonts w:ascii="宋体" w:hAnsi="宋体" w:eastAsia="宋体" w:cs="宋体"/>
          <w:color w:val="000000"/>
          <w:kern w:val="0"/>
          <w:szCs w:val="21"/>
        </w:rPr>
        <w:t>分析结果较为可靠。</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此外</w:t>
      </w:r>
      <w:r>
        <w:rPr>
          <w:rFonts w:ascii="宋体" w:hAnsi="宋体" w:eastAsia="宋体" w:cs="宋体"/>
          <w:color w:val="000000"/>
          <w:kern w:val="0"/>
          <w:szCs w:val="21"/>
        </w:rPr>
        <w:t>,根据《财政部关于试点发展项目收益与融资自求平衡的地方政府专项</w:t>
      </w:r>
      <w:r>
        <w:rPr>
          <w:rFonts w:hint="eastAsia" w:ascii="宋体" w:hAnsi="宋体" w:eastAsia="宋体" w:cs="宋体"/>
          <w:color w:val="000000"/>
          <w:kern w:val="0"/>
          <w:szCs w:val="21"/>
        </w:rPr>
        <w:t>债券品种的通知》（</w:t>
      </w:r>
      <w:r>
        <w:rPr>
          <w:rFonts w:ascii="宋体" w:hAnsi="宋体" w:eastAsia="宋体" w:cs="宋体"/>
          <w:color w:val="000000"/>
          <w:kern w:val="0"/>
          <w:szCs w:val="21"/>
        </w:rPr>
        <w:t>财预</w:t>
      </w:r>
      <w:r>
        <w:rPr>
          <w:rFonts w:hint="eastAsia" w:ascii="宋体" w:hAnsi="宋体" w:eastAsia="宋体" w:cs="宋体"/>
          <w:color w:val="000000"/>
          <w:kern w:val="0"/>
          <w:szCs w:val="21"/>
        </w:rPr>
        <w:t>【2</w:t>
      </w:r>
      <w:r>
        <w:rPr>
          <w:rFonts w:ascii="宋体" w:hAnsi="宋体" w:eastAsia="宋体" w:cs="宋体"/>
          <w:color w:val="000000"/>
          <w:kern w:val="0"/>
          <w:szCs w:val="21"/>
        </w:rPr>
        <w:t>017</w:t>
      </w:r>
      <w:r>
        <w:rPr>
          <w:rFonts w:hint="eastAsia" w:ascii="宋体" w:hAnsi="宋体" w:eastAsia="宋体" w:cs="宋体"/>
          <w:color w:val="000000"/>
          <w:kern w:val="0"/>
          <w:szCs w:val="21"/>
        </w:rPr>
        <w:t>】</w:t>
      </w:r>
      <w:r>
        <w:rPr>
          <w:rFonts w:ascii="宋体" w:hAnsi="宋体" w:eastAsia="宋体" w:cs="宋体"/>
          <w:color w:val="000000"/>
          <w:kern w:val="0"/>
          <w:szCs w:val="21"/>
        </w:rPr>
        <w:t>89号</w:t>
      </w:r>
      <w:r>
        <w:rPr>
          <w:rFonts w:hint="eastAsia" w:ascii="宋体" w:hAnsi="宋体" w:eastAsia="宋体" w:cs="宋体"/>
          <w:color w:val="000000"/>
          <w:kern w:val="0"/>
          <w:szCs w:val="21"/>
        </w:rPr>
        <w:t>）</w:t>
      </w:r>
      <w:r>
        <w:rPr>
          <w:rFonts w:ascii="宋体" w:hAnsi="宋体" w:eastAsia="宋体" w:cs="宋体"/>
          <w:color w:val="000000"/>
          <w:kern w:val="0"/>
          <w:szCs w:val="21"/>
        </w:rPr>
        <w:t>规定</w:t>
      </w:r>
      <w:r>
        <w:rPr>
          <w:rFonts w:hint="eastAsia" w:ascii="宋体" w:hAnsi="宋体" w:eastAsia="宋体" w:cs="宋体"/>
          <w:color w:val="000000"/>
          <w:kern w:val="0"/>
          <w:szCs w:val="21"/>
        </w:rPr>
        <w:t>，</w:t>
      </w:r>
      <w:r>
        <w:rPr>
          <w:rFonts w:ascii="宋体" w:hAnsi="宋体" w:eastAsia="宋体" w:cs="宋体"/>
          <w:color w:val="000000"/>
          <w:kern w:val="0"/>
          <w:szCs w:val="21"/>
        </w:rPr>
        <w:t>因项目取得的政府性基金或专</w:t>
      </w:r>
      <w:r>
        <w:rPr>
          <w:rFonts w:hint="eastAsia" w:ascii="宋体" w:hAnsi="宋体" w:eastAsia="宋体" w:cs="宋体"/>
          <w:color w:val="000000"/>
          <w:kern w:val="0"/>
          <w:szCs w:val="21"/>
        </w:rPr>
        <w:t>项收入暂时难以实现，</w:t>
      </w:r>
      <w:r>
        <w:rPr>
          <w:rFonts w:ascii="宋体" w:hAnsi="宋体" w:eastAsia="宋体" w:cs="宋体"/>
          <w:color w:val="000000"/>
          <w:kern w:val="0"/>
          <w:szCs w:val="21"/>
        </w:rPr>
        <w:t>不能偿还到期债券本金时</w:t>
      </w:r>
      <w:r>
        <w:rPr>
          <w:rFonts w:hint="eastAsia" w:ascii="宋体" w:hAnsi="宋体" w:eastAsia="宋体" w:cs="宋体"/>
          <w:color w:val="000000"/>
          <w:kern w:val="0"/>
          <w:szCs w:val="21"/>
        </w:rPr>
        <w:t>，</w:t>
      </w:r>
      <w:r>
        <w:rPr>
          <w:rFonts w:ascii="宋体" w:hAnsi="宋体" w:eastAsia="宋体" w:cs="宋体"/>
          <w:color w:val="000000"/>
          <w:kern w:val="0"/>
          <w:szCs w:val="21"/>
        </w:rPr>
        <w:t>可在专项债务限额内发行相关</w:t>
      </w:r>
      <w:r>
        <w:rPr>
          <w:rFonts w:hint="eastAsia" w:ascii="宋体" w:hAnsi="宋体" w:eastAsia="宋体" w:cs="宋体"/>
          <w:color w:val="000000"/>
          <w:kern w:val="0"/>
          <w:szCs w:val="21"/>
        </w:rPr>
        <w:t>专项债券周转偿还，</w:t>
      </w:r>
      <w:r>
        <w:rPr>
          <w:rFonts w:ascii="宋体" w:hAnsi="宋体" w:eastAsia="宋体" w:cs="宋体"/>
          <w:color w:val="000000"/>
          <w:kern w:val="0"/>
          <w:szCs w:val="21"/>
        </w:rPr>
        <w:t>项目收入实现后予以归还。同时,为控制融资平衡风险</w:t>
      </w:r>
      <w:r>
        <w:rPr>
          <w:rFonts w:hint="eastAsia" w:ascii="宋体" w:hAnsi="宋体" w:eastAsia="宋体" w:cs="宋体"/>
          <w:color w:val="000000"/>
          <w:kern w:val="0"/>
          <w:szCs w:val="21"/>
        </w:rPr>
        <w:t>，儋州市政府有权视项目平衡情况动态调整项目资本金比例。</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2、利率波动风险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在本政府专项债券存续期内，</w:t>
      </w:r>
      <w:r>
        <w:rPr>
          <w:rFonts w:ascii="宋体" w:hAnsi="宋体" w:eastAsia="宋体" w:cs="宋体"/>
          <w:color w:val="000000"/>
          <w:kern w:val="0"/>
          <w:szCs w:val="21"/>
        </w:rPr>
        <w:t>国际、国内宏观经济环境的变化</w:t>
      </w:r>
      <w:r>
        <w:rPr>
          <w:rFonts w:hint="eastAsia" w:ascii="宋体" w:hAnsi="宋体" w:eastAsia="宋体" w:cs="宋体"/>
          <w:color w:val="000000"/>
          <w:kern w:val="0"/>
          <w:szCs w:val="21"/>
        </w:rPr>
        <w:t>，</w:t>
      </w:r>
      <w:r>
        <w:rPr>
          <w:rFonts w:ascii="宋体" w:hAnsi="宋体" w:eastAsia="宋体" w:cs="宋体"/>
          <w:color w:val="000000"/>
          <w:kern w:val="0"/>
          <w:szCs w:val="21"/>
        </w:rPr>
        <w:t>国家经济政</w:t>
      </w:r>
      <w:r>
        <w:rPr>
          <w:rFonts w:hint="eastAsia" w:ascii="宋体" w:hAnsi="宋体" w:eastAsia="宋体" w:cs="宋体"/>
          <w:color w:val="000000"/>
          <w:kern w:val="0"/>
          <w:szCs w:val="21"/>
        </w:rPr>
        <w:t>策变动等因素会引起债务资本市场利率的波动，</w:t>
      </w:r>
      <w:r>
        <w:rPr>
          <w:rFonts w:ascii="宋体" w:hAnsi="宋体" w:eastAsia="宋体" w:cs="宋体"/>
          <w:color w:val="000000"/>
          <w:kern w:val="0"/>
          <w:szCs w:val="21"/>
        </w:rPr>
        <w:t>市场利率波动将会对本项目的财</w:t>
      </w:r>
      <w:r>
        <w:rPr>
          <w:rFonts w:hint="eastAsia" w:ascii="宋体" w:hAnsi="宋体" w:eastAsia="宋体" w:cs="宋体"/>
          <w:color w:val="000000"/>
          <w:kern w:val="0"/>
          <w:szCs w:val="21"/>
        </w:rPr>
        <w:t>务成本产生影响，</w:t>
      </w:r>
      <w:r>
        <w:rPr>
          <w:rFonts w:ascii="宋体" w:hAnsi="宋体" w:eastAsia="宋体" w:cs="宋体"/>
          <w:color w:val="000000"/>
          <w:kern w:val="0"/>
          <w:szCs w:val="21"/>
        </w:rPr>
        <w:t>进而影响项目投资收益的平衡。</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为控制项目融资平衡风险</w:t>
      </w:r>
      <w:r>
        <w:rPr>
          <w:rFonts w:hint="eastAsia" w:ascii="宋体" w:hAnsi="宋体" w:eastAsia="宋体" w:cs="宋体"/>
          <w:color w:val="000000"/>
          <w:kern w:val="0"/>
          <w:szCs w:val="21"/>
        </w:rPr>
        <w:t>，</w:t>
      </w:r>
      <w:r>
        <w:rPr>
          <w:rFonts w:ascii="宋体" w:hAnsi="宋体" w:eastAsia="宋体" w:cs="宋体"/>
          <w:color w:val="000000"/>
          <w:kern w:val="0"/>
          <w:szCs w:val="21"/>
        </w:rPr>
        <w:t>可动态调整债券发行期限和还款</w:t>
      </w:r>
      <w:r>
        <w:rPr>
          <w:rFonts w:hint="eastAsia" w:ascii="宋体" w:hAnsi="宋体" w:eastAsia="宋体" w:cs="宋体"/>
          <w:color w:val="000000"/>
          <w:kern w:val="0"/>
          <w:szCs w:val="21"/>
        </w:rPr>
        <w:t>方式及时间，</w:t>
      </w:r>
      <w:r>
        <w:rPr>
          <w:rFonts w:ascii="宋体" w:hAnsi="宋体" w:eastAsia="宋体" w:cs="宋体"/>
          <w:color w:val="000000"/>
          <w:kern w:val="0"/>
          <w:szCs w:val="21"/>
        </w:rPr>
        <w:t>做好期限配比、还款计划和准备</w:t>
      </w:r>
      <w:r>
        <w:rPr>
          <w:rFonts w:hint="eastAsia" w:ascii="宋体" w:hAnsi="宋体" w:eastAsia="宋体" w:cs="宋体"/>
          <w:color w:val="000000"/>
          <w:kern w:val="0"/>
          <w:szCs w:val="21"/>
        </w:rPr>
        <w:t>，</w:t>
      </w:r>
      <w:r>
        <w:rPr>
          <w:rFonts w:ascii="宋体" w:hAnsi="宋体" w:eastAsia="宋体" w:cs="宋体"/>
          <w:color w:val="000000"/>
          <w:kern w:val="0"/>
          <w:szCs w:val="21"/>
        </w:rPr>
        <w:t>加快资金周转</w:t>
      </w:r>
      <w:r>
        <w:rPr>
          <w:rFonts w:hint="eastAsia" w:ascii="宋体" w:hAnsi="宋体" w:eastAsia="宋体" w:cs="宋体"/>
          <w:color w:val="000000"/>
          <w:kern w:val="0"/>
          <w:szCs w:val="21"/>
        </w:rPr>
        <w:t>，</w:t>
      </w:r>
      <w:r>
        <w:rPr>
          <w:rFonts w:ascii="宋体" w:hAnsi="宋体" w:eastAsia="宋体" w:cs="宋体"/>
          <w:color w:val="000000"/>
          <w:kern w:val="0"/>
          <w:szCs w:val="21"/>
        </w:rPr>
        <w:t>适当增大流动比</w:t>
      </w:r>
      <w:r>
        <w:rPr>
          <w:rFonts w:hint="eastAsia" w:ascii="宋体" w:hAnsi="宋体" w:eastAsia="宋体" w:cs="宋体"/>
          <w:color w:val="000000"/>
          <w:kern w:val="0"/>
          <w:szCs w:val="21"/>
        </w:rPr>
        <w:t>率，</w:t>
      </w:r>
      <w:r>
        <w:rPr>
          <w:rFonts w:ascii="宋体" w:hAnsi="宋体" w:eastAsia="宋体" w:cs="宋体"/>
          <w:color w:val="000000"/>
          <w:kern w:val="0"/>
          <w:szCs w:val="21"/>
        </w:rPr>
        <w:t>充分盘活资金</w:t>
      </w:r>
      <w:r>
        <w:rPr>
          <w:rFonts w:hint="eastAsia" w:ascii="宋体" w:hAnsi="宋体" w:eastAsia="宋体" w:cs="宋体"/>
          <w:color w:val="000000"/>
          <w:kern w:val="0"/>
          <w:szCs w:val="21"/>
        </w:rPr>
        <w:t>，</w:t>
      </w:r>
      <w:r>
        <w:rPr>
          <w:rFonts w:ascii="宋体" w:hAnsi="宋体" w:eastAsia="宋体" w:cs="宋体"/>
          <w:color w:val="000000"/>
          <w:kern w:val="0"/>
          <w:szCs w:val="21"/>
        </w:rPr>
        <w:t>用资金使用效率收益对冲利率波动损失。</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3、存续债券置换不畅风险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根据《地方政府专项债务预算管理办法》（</w:t>
      </w:r>
      <w:r>
        <w:rPr>
          <w:rFonts w:ascii="宋体" w:hAnsi="宋体" w:eastAsia="宋体" w:cs="宋体"/>
          <w:color w:val="000000"/>
          <w:kern w:val="0"/>
          <w:szCs w:val="21"/>
        </w:rPr>
        <w:t>财预</w:t>
      </w:r>
      <w:r>
        <w:rPr>
          <w:rFonts w:hint="eastAsia" w:ascii="宋体" w:hAnsi="宋体" w:eastAsia="宋体" w:cs="宋体"/>
          <w:color w:val="000000"/>
          <w:kern w:val="0"/>
          <w:szCs w:val="21"/>
        </w:rPr>
        <w:t>【</w:t>
      </w:r>
      <w:r>
        <w:rPr>
          <w:rFonts w:ascii="宋体" w:hAnsi="宋体" w:eastAsia="宋体" w:cs="宋体"/>
          <w:color w:val="000000"/>
          <w:kern w:val="0"/>
          <w:szCs w:val="21"/>
        </w:rPr>
        <w:t>2016</w:t>
      </w:r>
      <w:r>
        <w:rPr>
          <w:rFonts w:hint="eastAsia" w:ascii="宋体" w:hAnsi="宋体" w:eastAsia="宋体" w:cs="宋体"/>
          <w:color w:val="000000"/>
          <w:kern w:val="0"/>
          <w:szCs w:val="21"/>
        </w:rPr>
        <w:t>】</w:t>
      </w:r>
      <w:r>
        <w:rPr>
          <w:rFonts w:ascii="宋体" w:hAnsi="宋体" w:eastAsia="宋体" w:cs="宋体"/>
          <w:color w:val="000000"/>
          <w:kern w:val="0"/>
          <w:szCs w:val="21"/>
        </w:rPr>
        <w:t>155号</w:t>
      </w:r>
      <w:r>
        <w:rPr>
          <w:rFonts w:hint="eastAsia" w:ascii="宋体" w:hAnsi="宋体" w:eastAsia="宋体" w:cs="宋体"/>
          <w:color w:val="000000"/>
          <w:kern w:val="0"/>
          <w:szCs w:val="21"/>
        </w:rPr>
        <w:t>）</w:t>
      </w:r>
      <w:r>
        <w:rPr>
          <w:rFonts w:ascii="宋体" w:hAnsi="宋体" w:eastAsia="宋体" w:cs="宋体"/>
          <w:color w:val="000000"/>
          <w:kern w:val="0"/>
          <w:szCs w:val="21"/>
        </w:rPr>
        <w:t>第六条规</w:t>
      </w:r>
      <w:r>
        <w:rPr>
          <w:rFonts w:hint="eastAsia" w:ascii="宋体" w:hAnsi="宋体" w:eastAsia="宋体" w:cs="宋体"/>
          <w:color w:val="000000"/>
          <w:kern w:val="0"/>
          <w:szCs w:val="21"/>
        </w:rPr>
        <w:t>定，</w:t>
      </w:r>
      <w:r>
        <w:rPr>
          <w:rFonts w:ascii="宋体" w:hAnsi="宋体" w:eastAsia="宋体" w:cs="宋体"/>
          <w:color w:val="000000"/>
          <w:kern w:val="0"/>
          <w:szCs w:val="21"/>
        </w:rPr>
        <w:t>专项债务本金通过对应的政府性基金收入、专项收入、发行专项债券等偿还。</w:t>
      </w:r>
      <w:r>
        <w:rPr>
          <w:rFonts w:hint="eastAsia" w:ascii="宋体" w:hAnsi="宋体" w:eastAsia="宋体" w:cs="宋体"/>
          <w:color w:val="000000"/>
          <w:kern w:val="0"/>
          <w:szCs w:val="21"/>
        </w:rPr>
        <w:t>若本期政府专项债券到期时项目收入不足以偿还本期债券，</w:t>
      </w:r>
      <w:r>
        <w:rPr>
          <w:rFonts w:ascii="宋体" w:hAnsi="宋体" w:eastAsia="宋体" w:cs="宋体"/>
          <w:color w:val="000000"/>
          <w:kern w:val="0"/>
          <w:szCs w:val="21"/>
        </w:rPr>
        <w:t>发行人将发行新一期</w:t>
      </w:r>
      <w:r>
        <w:rPr>
          <w:rFonts w:hint="eastAsia" w:ascii="宋体" w:hAnsi="宋体" w:eastAsia="宋体" w:cs="宋体"/>
          <w:color w:val="000000"/>
          <w:kern w:val="0"/>
          <w:szCs w:val="21"/>
        </w:rPr>
        <w:t>政府专项债券置换本期债券。因此存在由于新一期政府专项债券不能足额及时募集而造成本期政府专项债券不能按期足额兑付的风险。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:为防止发生存续债券不能顺畅置换的风险</w:t>
      </w:r>
      <w:r>
        <w:rPr>
          <w:rFonts w:hint="eastAsia" w:ascii="宋体" w:hAnsi="宋体" w:eastAsia="宋体" w:cs="宋体"/>
          <w:color w:val="000000"/>
          <w:kern w:val="0"/>
          <w:szCs w:val="21"/>
        </w:rPr>
        <w:t>，</w:t>
      </w:r>
      <w:r>
        <w:rPr>
          <w:rFonts w:ascii="宋体" w:hAnsi="宋体" w:eastAsia="宋体" w:cs="宋体"/>
          <w:color w:val="000000"/>
          <w:kern w:val="0"/>
          <w:szCs w:val="21"/>
        </w:rPr>
        <w:t>发行人将会同主</w:t>
      </w:r>
      <w:r>
        <w:rPr>
          <w:rFonts w:hint="eastAsia" w:ascii="宋体" w:hAnsi="宋体" w:eastAsia="宋体" w:cs="宋体"/>
          <w:color w:val="000000"/>
          <w:kern w:val="0"/>
          <w:szCs w:val="21"/>
        </w:rPr>
        <w:t>承销商及承销团成员提前准备发行资料，</w:t>
      </w:r>
      <w:r>
        <w:rPr>
          <w:rFonts w:ascii="宋体" w:hAnsi="宋体" w:eastAsia="宋体" w:cs="宋体"/>
          <w:color w:val="000000"/>
          <w:kern w:val="0"/>
          <w:szCs w:val="21"/>
        </w:rPr>
        <w:t>选取合适发行时间窗口</w:t>
      </w:r>
      <w:r>
        <w:rPr>
          <w:rFonts w:hint="eastAsia" w:ascii="宋体" w:hAnsi="宋体" w:eastAsia="宋体" w:cs="宋体"/>
          <w:color w:val="000000"/>
          <w:kern w:val="0"/>
          <w:szCs w:val="21"/>
        </w:rPr>
        <w:t>，</w:t>
      </w:r>
      <w:r>
        <w:rPr>
          <w:rFonts w:ascii="宋体" w:hAnsi="宋体" w:eastAsia="宋体" w:cs="宋体"/>
          <w:color w:val="000000"/>
          <w:kern w:val="0"/>
          <w:szCs w:val="21"/>
        </w:rPr>
        <w:t>根据市场行情</w:t>
      </w:r>
      <w:r>
        <w:rPr>
          <w:rFonts w:hint="eastAsia" w:ascii="宋体" w:hAnsi="宋体" w:eastAsia="宋体" w:cs="宋体"/>
          <w:color w:val="000000"/>
          <w:kern w:val="0"/>
          <w:szCs w:val="21"/>
        </w:rPr>
        <w:t>科学定价，</w:t>
      </w:r>
      <w:r>
        <w:rPr>
          <w:rFonts w:ascii="宋体" w:hAnsi="宋体" w:eastAsia="宋体" w:cs="宋体"/>
          <w:color w:val="000000"/>
          <w:kern w:val="0"/>
          <w:szCs w:val="21"/>
        </w:rPr>
        <w:t>力争在存续债券兑付日之前及时足额地募集到还款资金。</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4、对资金使用情况不正规风险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为了保护投资者利益，预防资金使用不当等风险，项目业主单位会跟踪并监督工程的实施进度，按照债券资金用途，结合项目投资计划，实行专款专用；做好资金使用台账登记工作和有关资料的归档管理，并及时与拨款单位、收款单位对账核实；配合有关单位或部门对专项债券资金使用情况的审计或检查等。</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附件：</w:t>
      </w:r>
    </w:p>
    <w:p>
      <w:pPr>
        <w:pStyle w:val="19"/>
        <w:numPr>
          <w:ilvl w:val="0"/>
          <w:numId w:val="5"/>
        </w:numPr>
        <w:tabs>
          <w:tab w:val="left" w:pos="851"/>
        </w:tabs>
        <w:spacing w:line="360" w:lineRule="auto"/>
        <w:ind w:left="0" w:firstLine="420"/>
        <w:rPr>
          <w:rFonts w:ascii="宋体" w:hAnsi="宋体" w:eastAsia="宋体" w:cs="宋体"/>
          <w:color w:val="000000"/>
          <w:kern w:val="0"/>
          <w:szCs w:val="21"/>
        </w:rPr>
      </w:pPr>
      <w:r>
        <w:rPr>
          <w:rFonts w:hint="eastAsia" w:ascii="宋体" w:hAnsi="宋体" w:eastAsia="宋体" w:cs="宋体"/>
          <w:color w:val="000000"/>
          <w:kern w:val="0"/>
          <w:szCs w:val="21"/>
        </w:rPr>
        <w:t>项目资金平衡测算表</w:t>
      </w:r>
    </w:p>
    <w:p>
      <w:pPr>
        <w:pStyle w:val="19"/>
        <w:tabs>
          <w:tab w:val="left" w:pos="851"/>
        </w:tabs>
        <w:spacing w:line="360" w:lineRule="auto"/>
        <w:ind w:firstLine="0" w:firstLineChars="0"/>
        <w:rPr>
          <w:rFonts w:ascii="宋体" w:hAnsi="宋体" w:eastAsia="宋体" w:cs="宋体"/>
          <w:color w:val="000000"/>
          <w:kern w:val="0"/>
          <w:szCs w:val="21"/>
        </w:rPr>
      </w:pPr>
    </w:p>
    <w:p>
      <w:pPr>
        <w:pStyle w:val="19"/>
        <w:tabs>
          <w:tab w:val="left" w:pos="851"/>
        </w:tabs>
        <w:spacing w:line="360" w:lineRule="auto"/>
        <w:ind w:firstLine="0" w:firstLineChars="0"/>
        <w:rPr>
          <w:rFonts w:ascii="宋体" w:hAnsi="宋体" w:eastAsia="宋体" w:cs="宋体"/>
          <w:color w:val="000000"/>
          <w:kern w:val="0"/>
          <w:szCs w:val="21"/>
        </w:rPr>
      </w:pPr>
    </w:p>
    <w:p>
      <w:pPr>
        <w:pStyle w:val="19"/>
        <w:tabs>
          <w:tab w:val="left" w:pos="851"/>
        </w:tabs>
        <w:spacing w:line="360" w:lineRule="auto"/>
        <w:ind w:firstLine="0" w:firstLineChars="0"/>
        <w:rPr>
          <w:rFonts w:ascii="宋体" w:hAnsi="宋体" w:eastAsia="宋体" w:cs="宋体"/>
          <w:color w:val="000000"/>
          <w:kern w:val="0"/>
          <w:szCs w:val="21"/>
        </w:rPr>
      </w:pPr>
    </w:p>
    <w:p>
      <w:pPr>
        <w:pStyle w:val="19"/>
        <w:tabs>
          <w:tab w:val="left" w:pos="851"/>
        </w:tabs>
        <w:spacing w:line="360" w:lineRule="auto"/>
        <w:ind w:firstLine="6720" w:firstLineChars="3200"/>
        <w:rPr>
          <w:rFonts w:ascii="宋体" w:hAnsi="宋体" w:eastAsia="宋体" w:cs="宋体"/>
          <w:color w:val="000000"/>
          <w:kern w:val="0"/>
          <w:szCs w:val="21"/>
        </w:rPr>
      </w:pPr>
      <w:r>
        <w:rPr>
          <w:rFonts w:hint="eastAsia" w:ascii="宋体" w:hAnsi="宋体" w:eastAsia="宋体" w:cs="宋体"/>
          <w:color w:val="000000"/>
          <w:kern w:val="0"/>
          <w:szCs w:val="21"/>
        </w:rPr>
        <w:t xml:space="preserve">儋州市财政局 </w:t>
      </w:r>
    </w:p>
    <w:p>
      <w:pPr>
        <w:pStyle w:val="19"/>
        <w:tabs>
          <w:tab w:val="left" w:pos="851"/>
        </w:tabs>
        <w:spacing w:line="360" w:lineRule="auto"/>
        <w:ind w:firstLine="6720" w:firstLineChars="3200"/>
        <w:rPr>
          <w:rFonts w:ascii="宋体" w:hAnsi="宋体" w:eastAsia="宋体" w:cs="宋体"/>
          <w:color w:val="000000"/>
          <w:kern w:val="0"/>
          <w:szCs w:val="21"/>
        </w:rPr>
      </w:pPr>
      <w:r>
        <w:rPr>
          <w:rFonts w:hint="eastAsia" w:ascii="宋体" w:hAnsi="宋体" w:eastAsia="宋体" w:cs="宋体"/>
          <w:color w:val="000000"/>
          <w:kern w:val="0"/>
          <w:szCs w:val="21"/>
        </w:rPr>
        <w:t>2022年6月</w:t>
      </w:r>
      <w:r>
        <w:rPr>
          <w:rFonts w:hint="eastAsia" w:ascii="宋体" w:hAnsi="宋体" w:eastAsia="宋体" w:cs="宋体"/>
          <w:color w:val="000000"/>
          <w:kern w:val="0"/>
          <w:szCs w:val="21"/>
          <w:lang w:val="en-US" w:eastAsia="zh-CN"/>
        </w:rPr>
        <w:t>14</w:t>
      </w:r>
      <w:r>
        <w:rPr>
          <w:rFonts w:hint="eastAsia" w:ascii="宋体" w:hAnsi="宋体" w:eastAsia="宋体" w:cs="宋体"/>
          <w:color w:val="000000"/>
          <w:kern w:val="0"/>
          <w:szCs w:val="21"/>
        </w:rPr>
        <w:t>日</w:t>
      </w:r>
    </w:p>
    <w:p/>
    <w:p>
      <w:pPr>
        <w:tabs>
          <w:tab w:val="left" w:pos="2714"/>
        </w:tabs>
      </w:pPr>
      <w:r>
        <w:tab/>
      </w:r>
    </w:p>
    <w:p/>
    <w:p>
      <w:pPr>
        <w:sectPr>
          <w:footerReference r:id="rId5" w:type="default"/>
          <w:pgSz w:w="11906" w:h="16838"/>
          <w:pgMar w:top="1440" w:right="1797" w:bottom="1440" w:left="1797" w:header="851" w:footer="992" w:gutter="0"/>
          <w:cols w:space="425" w:num="1"/>
          <w:docGrid w:type="lines" w:linePitch="312" w:charSpace="0"/>
        </w:sectPr>
      </w:pPr>
    </w:p>
    <w:p>
      <w:pPr>
        <w:pStyle w:val="7"/>
        <w:spacing w:before="0" w:beforeAutospacing="0" w:after="0" w:afterAutospacing="0"/>
        <w:ind w:firstLine="210" w:firstLineChars="100"/>
        <w:rPr>
          <w:sz w:val="21"/>
          <w:szCs w:val="21"/>
        </w:rPr>
      </w:pPr>
      <w:r>
        <w:rPr>
          <w:sz w:val="21"/>
          <w:szCs w:val="21"/>
        </w:rPr>
        <w:t>附件：项目资金平衡测算表</w:t>
      </w:r>
      <w:r>
        <w:rPr>
          <w:rFonts w:hint="eastAsia"/>
          <w:sz w:val="21"/>
          <w:szCs w:val="21"/>
        </w:rPr>
        <w:t xml:space="preserve">（合并）                                                                                   单位：万元  </w:t>
      </w:r>
    </w:p>
    <w:tbl>
      <w:tblPr>
        <w:tblStyle w:val="10"/>
        <w:tblW w:w="138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094"/>
        <w:gridCol w:w="1095"/>
        <w:gridCol w:w="1095"/>
        <w:gridCol w:w="1095"/>
        <w:gridCol w:w="1095"/>
        <w:gridCol w:w="1095"/>
        <w:gridCol w:w="1095"/>
        <w:gridCol w:w="1095"/>
        <w:gridCol w:w="1095"/>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094"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2018年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2019年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2020年</w:t>
            </w:r>
          </w:p>
        </w:tc>
        <w:tc>
          <w:tcPr>
            <w:tcW w:w="109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2021年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2022年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2023年</w:t>
            </w:r>
          </w:p>
        </w:tc>
        <w:tc>
          <w:tcPr>
            <w:tcW w:w="1095"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2024年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2025年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2026年</w:t>
            </w:r>
          </w:p>
        </w:tc>
        <w:tc>
          <w:tcPr>
            <w:tcW w:w="1095" w:type="dxa"/>
            <w:shd w:val="clear" w:color="auto" w:fill="FFFFFF"/>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2027年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094" w:type="dxa"/>
            <w:vAlign w:val="center"/>
          </w:tcPr>
          <w:p>
            <w:pPr>
              <w:jc w:val="right"/>
              <w:rPr>
                <w:rFonts w:ascii="Times New Roman" w:hAnsi="Times New Roman"/>
                <w:sz w:val="18"/>
                <w:szCs w:val="18"/>
              </w:rPr>
            </w:pPr>
            <w:r>
              <w:rPr>
                <w:rFonts w:ascii="Times New Roman" w:hAnsi="Times New Roman"/>
                <w:sz w:val="18"/>
                <w:szCs w:val="18"/>
              </w:rPr>
              <w:t>9,865.24</w:t>
            </w:r>
          </w:p>
        </w:tc>
        <w:tc>
          <w:tcPr>
            <w:tcW w:w="1095" w:type="dxa"/>
            <w:vAlign w:val="center"/>
          </w:tcPr>
          <w:p>
            <w:pPr>
              <w:jc w:val="right"/>
              <w:rPr>
                <w:rFonts w:ascii="Times New Roman" w:hAnsi="Times New Roman"/>
                <w:sz w:val="18"/>
                <w:szCs w:val="18"/>
              </w:rPr>
            </w:pPr>
            <w:r>
              <w:rPr>
                <w:rFonts w:ascii="Times New Roman" w:hAnsi="Times New Roman"/>
                <w:sz w:val="18"/>
                <w:szCs w:val="18"/>
              </w:rPr>
              <w:t>1,473.37</w:t>
            </w:r>
          </w:p>
        </w:tc>
        <w:tc>
          <w:tcPr>
            <w:tcW w:w="1095" w:type="dxa"/>
            <w:vAlign w:val="center"/>
          </w:tcPr>
          <w:p>
            <w:pPr>
              <w:jc w:val="right"/>
              <w:rPr>
                <w:rFonts w:ascii="Times New Roman" w:hAnsi="Times New Roman"/>
                <w:sz w:val="18"/>
                <w:szCs w:val="18"/>
              </w:rPr>
            </w:pPr>
            <w:r>
              <w:rPr>
                <w:rFonts w:ascii="Times New Roman" w:hAnsi="Times New Roman"/>
                <w:sz w:val="18"/>
                <w:szCs w:val="18"/>
              </w:rPr>
              <w:t>14,077.00</w:t>
            </w:r>
          </w:p>
        </w:tc>
        <w:tc>
          <w:tcPr>
            <w:tcW w:w="1095" w:type="dxa"/>
            <w:vAlign w:val="center"/>
          </w:tcPr>
          <w:p>
            <w:pPr>
              <w:jc w:val="right"/>
              <w:rPr>
                <w:rFonts w:ascii="Times New Roman" w:hAnsi="Times New Roman"/>
                <w:sz w:val="18"/>
                <w:szCs w:val="18"/>
              </w:rPr>
            </w:pPr>
            <w:r>
              <w:rPr>
                <w:rFonts w:ascii="Times New Roman" w:hAnsi="Times New Roman"/>
                <w:sz w:val="18"/>
                <w:szCs w:val="18"/>
              </w:rPr>
              <w:t>300.00</w:t>
            </w:r>
          </w:p>
        </w:tc>
        <w:tc>
          <w:tcPr>
            <w:tcW w:w="1095" w:type="dxa"/>
            <w:vAlign w:val="center"/>
          </w:tcPr>
          <w:p>
            <w:pPr>
              <w:jc w:val="right"/>
              <w:rPr>
                <w:rFonts w:ascii="Times New Roman" w:hAnsi="Times New Roman"/>
                <w:sz w:val="18"/>
                <w:szCs w:val="18"/>
              </w:rPr>
            </w:pPr>
            <w:r>
              <w:rPr>
                <w:rFonts w:ascii="Times New Roman" w:hAnsi="Times New Roman"/>
                <w:sz w:val="18"/>
                <w:szCs w:val="18"/>
              </w:rPr>
              <w:t>29,415.37</w:t>
            </w:r>
          </w:p>
        </w:tc>
        <w:tc>
          <w:tcPr>
            <w:tcW w:w="1095" w:type="dxa"/>
            <w:vAlign w:val="center"/>
          </w:tcPr>
          <w:p>
            <w:pPr>
              <w:jc w:val="right"/>
              <w:rPr>
                <w:rFonts w:ascii="Times New Roman" w:hAnsi="Times New Roman"/>
                <w:sz w:val="18"/>
                <w:szCs w:val="18"/>
              </w:rPr>
            </w:pPr>
            <w:r>
              <w:rPr>
                <w:rFonts w:ascii="Times New Roman" w:hAnsi="Times New Roman"/>
                <w:sz w:val="18"/>
                <w:szCs w:val="18"/>
              </w:rPr>
              <w:t>164,697.91</w:t>
            </w:r>
          </w:p>
        </w:tc>
        <w:tc>
          <w:tcPr>
            <w:tcW w:w="1095" w:type="dxa"/>
            <w:vAlign w:val="center"/>
          </w:tcPr>
          <w:p>
            <w:pPr>
              <w:jc w:val="right"/>
              <w:rPr>
                <w:rFonts w:ascii="Times New Roman" w:hAnsi="Times New Roman"/>
                <w:sz w:val="18"/>
                <w:szCs w:val="18"/>
              </w:rPr>
            </w:pPr>
            <w:r>
              <w:rPr>
                <w:rFonts w:ascii="Times New Roman" w:hAnsi="Times New Roman"/>
                <w:sz w:val="18"/>
                <w:szCs w:val="18"/>
              </w:rPr>
              <w:t>116,558.51</w:t>
            </w:r>
          </w:p>
        </w:tc>
        <w:tc>
          <w:tcPr>
            <w:tcW w:w="1095" w:type="dxa"/>
            <w:vAlign w:val="center"/>
          </w:tcPr>
          <w:p>
            <w:pPr>
              <w:jc w:val="right"/>
              <w:rPr>
                <w:rFonts w:ascii="Times New Roman" w:hAnsi="Times New Roman"/>
                <w:sz w:val="18"/>
                <w:szCs w:val="18"/>
              </w:rPr>
            </w:pPr>
            <w:r>
              <w:rPr>
                <w:rFonts w:ascii="Times New Roman" w:hAnsi="Times New Roman"/>
                <w:sz w:val="18"/>
                <w:szCs w:val="18"/>
              </w:rPr>
              <w:t>10,366.85</w:t>
            </w:r>
          </w:p>
        </w:tc>
        <w:tc>
          <w:tcPr>
            <w:tcW w:w="1095" w:type="dxa"/>
            <w:vAlign w:val="center"/>
          </w:tcPr>
          <w:p>
            <w:pPr>
              <w:jc w:val="right"/>
              <w:rPr>
                <w:rFonts w:ascii="Times New Roman" w:hAnsi="Times New Roman"/>
                <w:sz w:val="18"/>
                <w:szCs w:val="18"/>
              </w:rPr>
            </w:pPr>
            <w:r>
              <w:rPr>
                <w:rFonts w:ascii="Times New Roman" w:hAnsi="Times New Roman"/>
                <w:sz w:val="18"/>
                <w:szCs w:val="18"/>
              </w:rPr>
              <w:t>1,109.60</w:t>
            </w:r>
          </w:p>
        </w:tc>
        <w:tc>
          <w:tcPr>
            <w:tcW w:w="1095" w:type="dxa"/>
            <w:vAlign w:val="center"/>
          </w:tcPr>
          <w:p>
            <w:pPr>
              <w:jc w:val="right"/>
              <w:rPr>
                <w:rFonts w:ascii="Times New Roman" w:hAnsi="Times New Roman"/>
                <w:sz w:val="18"/>
                <w:szCs w:val="18"/>
              </w:rPr>
            </w:pPr>
            <w:r>
              <w:rPr>
                <w:rFonts w:ascii="Times New Roman" w:hAnsi="Times New Roman"/>
                <w:sz w:val="18"/>
                <w:szCs w:val="18"/>
              </w:rPr>
              <w:t>1,109.60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094" w:type="dxa"/>
            <w:shd w:val="clear" w:color="auto" w:fill="FFFFFF"/>
            <w:vAlign w:val="center"/>
          </w:tcPr>
          <w:p>
            <w:pPr>
              <w:jc w:val="right"/>
              <w:rPr>
                <w:rFonts w:ascii="Times New Roman" w:hAnsi="Times New Roman"/>
                <w:sz w:val="18"/>
                <w:szCs w:val="18"/>
              </w:rPr>
            </w:pPr>
            <w:r>
              <w:rPr>
                <w:rFonts w:ascii="Times New Roman" w:hAnsi="Times New Roman"/>
                <w:sz w:val="18"/>
                <w:szCs w:val="18"/>
              </w:rPr>
              <w:t>9,865.24</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1,473.37</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300.00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14,515.37</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155,268.36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111,300.00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094"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8,597.35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4,148.91</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9,257.25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094"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832.20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1,109.60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1,109.60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1,109.60</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1,109.60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14,077.00</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14,900.00</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094" w:type="dxa"/>
            <w:vAlign w:val="center"/>
          </w:tcPr>
          <w:p>
            <w:pPr>
              <w:jc w:val="right"/>
              <w:rPr>
                <w:rFonts w:ascii="Times New Roman" w:hAnsi="Times New Roman"/>
                <w:sz w:val="18"/>
                <w:szCs w:val="18"/>
              </w:rPr>
            </w:pPr>
            <w:r>
              <w:rPr>
                <w:rFonts w:ascii="Times New Roman" w:hAnsi="Times New Roman"/>
                <w:sz w:val="18"/>
                <w:szCs w:val="18"/>
              </w:rPr>
              <w:t>8,302.51</w:t>
            </w:r>
          </w:p>
        </w:tc>
        <w:tc>
          <w:tcPr>
            <w:tcW w:w="1095" w:type="dxa"/>
            <w:vAlign w:val="center"/>
          </w:tcPr>
          <w:p>
            <w:pPr>
              <w:jc w:val="right"/>
              <w:rPr>
                <w:rFonts w:ascii="Times New Roman" w:hAnsi="Times New Roman"/>
                <w:sz w:val="18"/>
                <w:szCs w:val="18"/>
              </w:rPr>
            </w:pPr>
            <w:r>
              <w:rPr>
                <w:rFonts w:ascii="Times New Roman" w:hAnsi="Times New Roman"/>
                <w:sz w:val="18"/>
                <w:szCs w:val="18"/>
              </w:rPr>
              <w:t>1,534.95</w:t>
            </w:r>
          </w:p>
        </w:tc>
        <w:tc>
          <w:tcPr>
            <w:tcW w:w="1095" w:type="dxa"/>
            <w:vAlign w:val="center"/>
          </w:tcPr>
          <w:p>
            <w:pPr>
              <w:jc w:val="right"/>
              <w:rPr>
                <w:rFonts w:ascii="Times New Roman" w:hAnsi="Times New Roman"/>
                <w:sz w:val="18"/>
                <w:szCs w:val="18"/>
              </w:rPr>
            </w:pPr>
            <w:r>
              <w:rPr>
                <w:rFonts w:ascii="Times New Roman" w:hAnsi="Times New Roman"/>
                <w:sz w:val="18"/>
                <w:szCs w:val="18"/>
              </w:rPr>
              <w:t>11,250.44</w:t>
            </w:r>
          </w:p>
        </w:tc>
        <w:tc>
          <w:tcPr>
            <w:tcW w:w="1095" w:type="dxa"/>
            <w:vAlign w:val="center"/>
          </w:tcPr>
          <w:p>
            <w:pPr>
              <w:jc w:val="right"/>
              <w:rPr>
                <w:rFonts w:ascii="Times New Roman" w:hAnsi="Times New Roman"/>
                <w:sz w:val="18"/>
                <w:szCs w:val="18"/>
              </w:rPr>
            </w:pPr>
            <w:r>
              <w:rPr>
                <w:rFonts w:ascii="Times New Roman" w:hAnsi="Times New Roman"/>
                <w:sz w:val="18"/>
                <w:szCs w:val="18"/>
              </w:rPr>
              <w:t>4,584.25</w:t>
            </w:r>
          </w:p>
        </w:tc>
        <w:tc>
          <w:tcPr>
            <w:tcW w:w="1095" w:type="dxa"/>
            <w:vAlign w:val="center"/>
          </w:tcPr>
          <w:p>
            <w:pPr>
              <w:jc w:val="right"/>
              <w:rPr>
                <w:rFonts w:ascii="Times New Roman" w:hAnsi="Times New Roman"/>
                <w:sz w:val="18"/>
                <w:szCs w:val="18"/>
              </w:rPr>
            </w:pPr>
            <w:r>
              <w:rPr>
                <w:rFonts w:ascii="Times New Roman" w:hAnsi="Times New Roman"/>
                <w:sz w:val="18"/>
                <w:szCs w:val="18"/>
              </w:rPr>
              <w:t>27,783.15</w:t>
            </w:r>
          </w:p>
        </w:tc>
        <w:tc>
          <w:tcPr>
            <w:tcW w:w="1095" w:type="dxa"/>
            <w:vAlign w:val="center"/>
          </w:tcPr>
          <w:p>
            <w:pPr>
              <w:jc w:val="right"/>
              <w:rPr>
                <w:rFonts w:ascii="Times New Roman" w:hAnsi="Times New Roman"/>
                <w:sz w:val="18"/>
                <w:szCs w:val="18"/>
              </w:rPr>
            </w:pPr>
            <w:r>
              <w:rPr>
                <w:rFonts w:ascii="Times New Roman" w:hAnsi="Times New Roman"/>
                <w:sz w:val="18"/>
                <w:szCs w:val="18"/>
              </w:rPr>
              <w:t>159,884.96</w:t>
            </w:r>
          </w:p>
        </w:tc>
        <w:tc>
          <w:tcPr>
            <w:tcW w:w="1095" w:type="dxa"/>
            <w:vAlign w:val="center"/>
          </w:tcPr>
          <w:p>
            <w:pPr>
              <w:jc w:val="right"/>
              <w:rPr>
                <w:rFonts w:ascii="Times New Roman" w:hAnsi="Times New Roman"/>
                <w:sz w:val="18"/>
                <w:szCs w:val="18"/>
              </w:rPr>
            </w:pPr>
            <w:r>
              <w:rPr>
                <w:rFonts w:ascii="Times New Roman" w:hAnsi="Times New Roman"/>
                <w:sz w:val="18"/>
                <w:szCs w:val="18"/>
              </w:rPr>
              <w:t>96,090.38</w:t>
            </w:r>
          </w:p>
        </w:tc>
        <w:tc>
          <w:tcPr>
            <w:tcW w:w="1095" w:type="dxa"/>
            <w:vAlign w:val="center"/>
          </w:tcPr>
          <w:p>
            <w:pPr>
              <w:jc w:val="right"/>
              <w:rPr>
                <w:rFonts w:ascii="Times New Roman" w:hAnsi="Times New Roman"/>
                <w:sz w:val="18"/>
                <w:szCs w:val="18"/>
              </w:rPr>
            </w:pPr>
            <w:r>
              <w:rPr>
                <w:rFonts w:ascii="Times New Roman" w:hAnsi="Times New Roman"/>
                <w:sz w:val="18"/>
                <w:szCs w:val="18"/>
              </w:rPr>
              <w:t>27,938.14</w:t>
            </w:r>
          </w:p>
        </w:tc>
        <w:tc>
          <w:tcPr>
            <w:tcW w:w="1095" w:type="dxa"/>
            <w:vAlign w:val="center"/>
          </w:tcPr>
          <w:p>
            <w:pPr>
              <w:jc w:val="right"/>
              <w:rPr>
                <w:rFonts w:ascii="Times New Roman" w:hAnsi="Times New Roman"/>
                <w:sz w:val="18"/>
                <w:szCs w:val="18"/>
              </w:rPr>
            </w:pPr>
            <w:r>
              <w:rPr>
                <w:rFonts w:ascii="Times New Roman" w:hAnsi="Times New Roman"/>
                <w:sz w:val="18"/>
                <w:szCs w:val="18"/>
              </w:rPr>
              <w:t>1,539.36</w:t>
            </w:r>
          </w:p>
        </w:tc>
        <w:tc>
          <w:tcPr>
            <w:tcW w:w="1095" w:type="dxa"/>
            <w:vAlign w:val="center"/>
          </w:tcPr>
          <w:p>
            <w:pPr>
              <w:jc w:val="right"/>
              <w:rPr>
                <w:rFonts w:ascii="Times New Roman" w:hAnsi="Times New Roman"/>
                <w:sz w:val="18"/>
                <w:szCs w:val="18"/>
              </w:rPr>
            </w:pPr>
            <w:r>
              <w:rPr>
                <w:rFonts w:ascii="Times New Roman" w:hAnsi="Times New Roman"/>
                <w:sz w:val="18"/>
                <w:szCs w:val="18"/>
              </w:rPr>
              <w:t>1,539.36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094" w:type="dxa"/>
            <w:vAlign w:val="center"/>
          </w:tcPr>
          <w:p>
            <w:pPr>
              <w:jc w:val="right"/>
              <w:rPr>
                <w:rFonts w:ascii="Times New Roman" w:hAnsi="Times New Roman"/>
                <w:sz w:val="18"/>
                <w:szCs w:val="18"/>
              </w:rPr>
            </w:pPr>
            <w:r>
              <w:rPr>
                <w:rFonts w:ascii="Times New Roman" w:hAnsi="Times New Roman"/>
                <w:sz w:val="18"/>
                <w:szCs w:val="18"/>
              </w:rPr>
              <w:t>8,302.51</w:t>
            </w:r>
          </w:p>
        </w:tc>
        <w:tc>
          <w:tcPr>
            <w:tcW w:w="1095" w:type="dxa"/>
            <w:vAlign w:val="center"/>
          </w:tcPr>
          <w:p>
            <w:pPr>
              <w:jc w:val="right"/>
              <w:rPr>
                <w:rFonts w:ascii="Times New Roman" w:hAnsi="Times New Roman"/>
                <w:sz w:val="18"/>
                <w:szCs w:val="18"/>
              </w:rPr>
            </w:pPr>
            <w:r>
              <w:rPr>
                <w:rFonts w:ascii="Times New Roman" w:hAnsi="Times New Roman"/>
                <w:sz w:val="18"/>
                <w:szCs w:val="18"/>
              </w:rPr>
              <w:t>1,534.95</w:t>
            </w:r>
          </w:p>
        </w:tc>
        <w:tc>
          <w:tcPr>
            <w:tcW w:w="1095" w:type="dxa"/>
            <w:vAlign w:val="center"/>
          </w:tcPr>
          <w:p>
            <w:pPr>
              <w:jc w:val="right"/>
              <w:rPr>
                <w:rFonts w:ascii="Times New Roman" w:hAnsi="Times New Roman"/>
                <w:sz w:val="18"/>
                <w:szCs w:val="18"/>
              </w:rPr>
            </w:pPr>
            <w:r>
              <w:rPr>
                <w:rFonts w:ascii="Times New Roman" w:hAnsi="Times New Roman"/>
                <w:sz w:val="18"/>
                <w:szCs w:val="18"/>
              </w:rPr>
              <w:t>10,992.83</w:t>
            </w:r>
          </w:p>
        </w:tc>
        <w:tc>
          <w:tcPr>
            <w:tcW w:w="1095" w:type="dxa"/>
            <w:vAlign w:val="center"/>
          </w:tcPr>
          <w:p>
            <w:pPr>
              <w:jc w:val="right"/>
              <w:rPr>
                <w:rFonts w:ascii="Times New Roman" w:hAnsi="Times New Roman"/>
                <w:sz w:val="18"/>
                <w:szCs w:val="18"/>
              </w:rPr>
            </w:pPr>
            <w:r>
              <w:rPr>
                <w:rFonts w:ascii="Times New Roman" w:hAnsi="Times New Roman"/>
                <w:sz w:val="18"/>
                <w:szCs w:val="18"/>
              </w:rPr>
              <w:t>4,100.00</w:t>
            </w:r>
          </w:p>
        </w:tc>
        <w:tc>
          <w:tcPr>
            <w:tcW w:w="1095" w:type="dxa"/>
            <w:vAlign w:val="center"/>
          </w:tcPr>
          <w:p>
            <w:pPr>
              <w:jc w:val="right"/>
              <w:rPr>
                <w:rFonts w:ascii="Times New Roman" w:hAnsi="Times New Roman"/>
                <w:sz w:val="18"/>
                <w:szCs w:val="18"/>
              </w:rPr>
            </w:pPr>
            <w:r>
              <w:rPr>
                <w:rFonts w:ascii="Times New Roman" w:hAnsi="Times New Roman"/>
                <w:sz w:val="18"/>
                <w:szCs w:val="18"/>
              </w:rPr>
              <w:t>27,032.94</w:t>
            </w:r>
          </w:p>
        </w:tc>
        <w:tc>
          <w:tcPr>
            <w:tcW w:w="1095" w:type="dxa"/>
            <w:vAlign w:val="center"/>
          </w:tcPr>
          <w:p>
            <w:pPr>
              <w:jc w:val="right"/>
              <w:rPr>
                <w:rFonts w:ascii="Times New Roman" w:hAnsi="Times New Roman"/>
                <w:sz w:val="18"/>
                <w:szCs w:val="18"/>
              </w:rPr>
            </w:pPr>
            <w:r>
              <w:rPr>
                <w:rFonts w:ascii="Times New Roman" w:hAnsi="Times New Roman"/>
                <w:sz w:val="18"/>
                <w:szCs w:val="18"/>
              </w:rPr>
              <w:t>154,693.62</w:t>
            </w:r>
          </w:p>
        </w:tc>
        <w:tc>
          <w:tcPr>
            <w:tcW w:w="1095" w:type="dxa"/>
            <w:vAlign w:val="center"/>
          </w:tcPr>
          <w:p>
            <w:pPr>
              <w:jc w:val="right"/>
              <w:rPr>
                <w:rFonts w:ascii="Times New Roman" w:hAnsi="Times New Roman"/>
                <w:sz w:val="18"/>
                <w:szCs w:val="18"/>
              </w:rPr>
            </w:pPr>
            <w:r>
              <w:rPr>
                <w:rFonts w:ascii="Times New Roman" w:hAnsi="Times New Roman"/>
                <w:sz w:val="18"/>
                <w:szCs w:val="18"/>
              </w:rPr>
              <w:t>92,722.75</w:t>
            </w:r>
          </w:p>
        </w:tc>
        <w:tc>
          <w:tcPr>
            <w:tcW w:w="1095" w:type="dxa"/>
            <w:vAlign w:val="center"/>
          </w:tcPr>
          <w:p>
            <w:pPr>
              <w:jc w:val="right"/>
              <w:rPr>
                <w:rFonts w:ascii="Times New Roman" w:hAnsi="Times New Roman"/>
                <w:sz w:val="18"/>
                <w:szCs w:val="18"/>
              </w:rPr>
            </w:pPr>
            <w:r>
              <w:rPr>
                <w:rFonts w:ascii="Times New Roman" w:hAnsi="Times New Roman"/>
                <w:sz w:val="18"/>
                <w:szCs w:val="18"/>
              </w:rPr>
              <w:t>22,319.73</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3,790.97</w:t>
            </w:r>
          </w:p>
        </w:tc>
        <w:tc>
          <w:tcPr>
            <w:tcW w:w="1095" w:type="dxa"/>
            <w:vAlign w:val="center"/>
          </w:tcPr>
          <w:p>
            <w:pPr>
              <w:jc w:val="right"/>
              <w:rPr>
                <w:rFonts w:ascii="Times New Roman" w:hAnsi="Times New Roman"/>
                <w:sz w:val="18"/>
                <w:szCs w:val="18"/>
              </w:rPr>
            </w:pPr>
            <w:r>
              <w:rPr>
                <w:rFonts w:ascii="Times New Roman" w:hAnsi="Times New Roman"/>
                <w:sz w:val="18"/>
                <w:szCs w:val="18"/>
              </w:rPr>
              <w:t>1,828.26</w:t>
            </w:r>
          </w:p>
        </w:tc>
        <w:tc>
          <w:tcPr>
            <w:tcW w:w="1095" w:type="dxa"/>
            <w:vAlign w:val="center"/>
          </w:tcPr>
          <w:p>
            <w:pPr>
              <w:jc w:val="right"/>
              <w:rPr>
                <w:rFonts w:ascii="Times New Roman" w:hAnsi="Times New Roman"/>
                <w:sz w:val="18"/>
                <w:szCs w:val="18"/>
              </w:rPr>
            </w:pPr>
            <w:r>
              <w:rPr>
                <w:rFonts w:ascii="Times New Roman" w:hAnsi="Times New Roman"/>
                <w:sz w:val="18"/>
                <w:szCs w:val="18"/>
              </w:rPr>
              <w:t>4,079.05</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416.97</w:t>
            </w:r>
          </w:p>
        </w:tc>
        <w:tc>
          <w:tcPr>
            <w:tcW w:w="1095" w:type="dxa"/>
            <w:vAlign w:val="center"/>
          </w:tcPr>
          <w:p>
            <w:pPr>
              <w:jc w:val="right"/>
              <w:rPr>
                <w:rFonts w:ascii="Times New Roman" w:hAnsi="Times New Roman"/>
                <w:sz w:val="18"/>
                <w:szCs w:val="18"/>
              </w:rPr>
            </w:pPr>
            <w:r>
              <w:rPr>
                <w:rFonts w:ascii="Times New Roman" w:hAnsi="Times New Roman"/>
                <w:sz w:val="18"/>
                <w:szCs w:val="18"/>
              </w:rPr>
              <w:t>555.96</w:t>
            </w:r>
          </w:p>
        </w:tc>
        <w:tc>
          <w:tcPr>
            <w:tcW w:w="1095" w:type="dxa"/>
            <w:vAlign w:val="center"/>
          </w:tcPr>
          <w:p>
            <w:pPr>
              <w:jc w:val="right"/>
              <w:rPr>
                <w:rFonts w:ascii="Times New Roman" w:hAnsi="Times New Roman"/>
                <w:sz w:val="18"/>
                <w:szCs w:val="18"/>
              </w:rPr>
            </w:pPr>
            <w:r>
              <w:rPr>
                <w:rFonts w:ascii="Times New Roman" w:hAnsi="Times New Roman"/>
                <w:sz w:val="18"/>
                <w:szCs w:val="18"/>
              </w:rPr>
              <w:t>555.96</w:t>
            </w:r>
          </w:p>
        </w:tc>
        <w:tc>
          <w:tcPr>
            <w:tcW w:w="1095" w:type="dxa"/>
            <w:vAlign w:val="center"/>
          </w:tcPr>
          <w:p>
            <w:pPr>
              <w:jc w:val="right"/>
              <w:rPr>
                <w:rFonts w:ascii="Times New Roman" w:hAnsi="Times New Roman"/>
                <w:sz w:val="18"/>
                <w:szCs w:val="18"/>
              </w:rPr>
            </w:pPr>
            <w:r>
              <w:rPr>
                <w:rFonts w:ascii="Times New Roman" w:hAnsi="Times New Roman"/>
                <w:sz w:val="18"/>
                <w:szCs w:val="18"/>
              </w:rPr>
              <w:t>555.96</w:t>
            </w:r>
          </w:p>
        </w:tc>
        <w:tc>
          <w:tcPr>
            <w:tcW w:w="1095" w:type="dxa"/>
            <w:vAlign w:val="center"/>
          </w:tcPr>
          <w:p>
            <w:pPr>
              <w:jc w:val="right"/>
              <w:rPr>
                <w:rFonts w:ascii="Times New Roman" w:hAnsi="Times New Roman"/>
                <w:sz w:val="18"/>
                <w:szCs w:val="18"/>
              </w:rPr>
            </w:pPr>
            <w:r>
              <w:rPr>
                <w:rFonts w:ascii="Times New Roman" w:hAnsi="Times New Roman"/>
                <w:sz w:val="18"/>
                <w:szCs w:val="18"/>
              </w:rPr>
              <w:t>555.96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15.48</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16.39</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242.13</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c>
          <w:tcPr>
            <w:tcW w:w="1095" w:type="dxa"/>
            <w:vAlign w:val="center"/>
          </w:tcPr>
          <w:p>
            <w:pPr>
              <w:jc w:val="right"/>
              <w:rPr>
                <w:rFonts w:ascii="Times New Roman" w:hAnsi="Times New Roman"/>
                <w:sz w:val="18"/>
                <w:szCs w:val="18"/>
              </w:rPr>
            </w:pPr>
            <w:r>
              <w:rPr>
                <w:rFonts w:ascii="Times New Roman" w:hAnsi="Times New Roman"/>
                <w:sz w:val="18"/>
                <w:szCs w:val="18"/>
              </w:rPr>
              <w:t>484.25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094"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w:t>
            </w:r>
          </w:p>
        </w:tc>
        <w:tc>
          <w:tcPr>
            <w:tcW w:w="1095" w:type="dxa"/>
            <w:vAlign w:val="center"/>
          </w:tcPr>
          <w:p>
            <w:pPr>
              <w:jc w:val="right"/>
              <w:rPr>
                <w:rFonts w:ascii="Times New Roman" w:hAnsi="Times New Roman"/>
                <w:sz w:val="18"/>
                <w:szCs w:val="18"/>
              </w:rPr>
            </w:pPr>
            <w:r>
              <w:rPr>
                <w:rFonts w:ascii="Times New Roman" w:hAnsi="Times New Roman"/>
                <w:sz w:val="18"/>
                <w:szCs w:val="18"/>
              </w:rPr>
              <w:t>249.58</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499.15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499.15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499.15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499.15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499.15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094" w:type="dxa"/>
            <w:vAlign w:val="center"/>
          </w:tcPr>
          <w:p>
            <w:pPr>
              <w:jc w:val="right"/>
              <w:rPr>
                <w:rFonts w:ascii="Times New Roman" w:hAnsi="Times New Roman"/>
                <w:sz w:val="18"/>
                <w:szCs w:val="18"/>
              </w:rPr>
            </w:pPr>
            <w:r>
              <w:rPr>
                <w:rFonts w:ascii="Times New Roman" w:hAnsi="Times New Roman"/>
                <w:sz w:val="18"/>
                <w:szCs w:val="18"/>
              </w:rPr>
              <w:t>1,562.73</w:t>
            </w:r>
          </w:p>
        </w:tc>
        <w:tc>
          <w:tcPr>
            <w:tcW w:w="1095" w:type="dxa"/>
            <w:vAlign w:val="center"/>
          </w:tcPr>
          <w:p>
            <w:pPr>
              <w:jc w:val="right"/>
              <w:rPr>
                <w:rFonts w:ascii="Times New Roman" w:hAnsi="Times New Roman"/>
                <w:sz w:val="18"/>
                <w:szCs w:val="18"/>
              </w:rPr>
            </w:pPr>
            <w:r>
              <w:rPr>
                <w:rFonts w:ascii="Times New Roman" w:hAnsi="Times New Roman"/>
                <w:sz w:val="18"/>
                <w:szCs w:val="18"/>
              </w:rPr>
              <w:t>-61.58</w:t>
            </w:r>
          </w:p>
        </w:tc>
        <w:tc>
          <w:tcPr>
            <w:tcW w:w="1095" w:type="dxa"/>
            <w:vAlign w:val="center"/>
          </w:tcPr>
          <w:p>
            <w:pPr>
              <w:jc w:val="right"/>
              <w:rPr>
                <w:rFonts w:ascii="Times New Roman" w:hAnsi="Times New Roman"/>
                <w:sz w:val="18"/>
                <w:szCs w:val="18"/>
              </w:rPr>
            </w:pPr>
            <w:r>
              <w:rPr>
                <w:rFonts w:ascii="Times New Roman" w:hAnsi="Times New Roman"/>
                <w:sz w:val="18"/>
                <w:szCs w:val="18"/>
              </w:rPr>
              <w:t>2,826.56</w:t>
            </w:r>
          </w:p>
        </w:tc>
        <w:tc>
          <w:tcPr>
            <w:tcW w:w="1095" w:type="dxa"/>
            <w:vAlign w:val="center"/>
          </w:tcPr>
          <w:p>
            <w:pPr>
              <w:jc w:val="right"/>
              <w:rPr>
                <w:rFonts w:ascii="Times New Roman" w:hAnsi="Times New Roman"/>
                <w:sz w:val="18"/>
                <w:szCs w:val="18"/>
              </w:rPr>
            </w:pPr>
            <w:r>
              <w:rPr>
                <w:rFonts w:ascii="Times New Roman" w:hAnsi="Times New Roman"/>
                <w:sz w:val="18"/>
                <w:szCs w:val="18"/>
              </w:rPr>
              <w:t>-4,284.25</w:t>
            </w:r>
          </w:p>
        </w:tc>
        <w:tc>
          <w:tcPr>
            <w:tcW w:w="1095" w:type="dxa"/>
            <w:vAlign w:val="center"/>
          </w:tcPr>
          <w:p>
            <w:pPr>
              <w:jc w:val="right"/>
              <w:rPr>
                <w:rFonts w:ascii="Times New Roman" w:hAnsi="Times New Roman"/>
                <w:sz w:val="18"/>
                <w:szCs w:val="18"/>
              </w:rPr>
            </w:pPr>
            <w:r>
              <w:rPr>
                <w:rFonts w:ascii="Times New Roman" w:hAnsi="Times New Roman"/>
                <w:sz w:val="18"/>
                <w:szCs w:val="18"/>
              </w:rPr>
              <w:t>1,632.22</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4,812.95</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20,468.13</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-17,571.29</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-429.76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-429.76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094" w:type="dxa"/>
            <w:vAlign w:val="center"/>
          </w:tcPr>
          <w:p>
            <w:pPr>
              <w:jc w:val="right"/>
              <w:rPr>
                <w:rFonts w:ascii="Times New Roman" w:hAnsi="Times New Roman"/>
                <w:sz w:val="18"/>
                <w:szCs w:val="18"/>
              </w:rPr>
            </w:pPr>
            <w:r>
              <w:rPr>
                <w:rFonts w:ascii="Times New Roman" w:hAnsi="Times New Roman"/>
                <w:sz w:val="18"/>
                <w:szCs w:val="18"/>
              </w:rPr>
              <w:t>1,562.73</w:t>
            </w:r>
          </w:p>
        </w:tc>
        <w:tc>
          <w:tcPr>
            <w:tcW w:w="1095" w:type="dxa"/>
            <w:vAlign w:val="center"/>
          </w:tcPr>
          <w:p>
            <w:pPr>
              <w:jc w:val="right"/>
              <w:rPr>
                <w:rFonts w:ascii="Times New Roman" w:hAnsi="Times New Roman"/>
                <w:sz w:val="18"/>
                <w:szCs w:val="18"/>
              </w:rPr>
            </w:pPr>
            <w:r>
              <w:rPr>
                <w:rFonts w:ascii="Times New Roman" w:hAnsi="Times New Roman"/>
                <w:sz w:val="18"/>
                <w:szCs w:val="18"/>
              </w:rPr>
              <w:t>1,501.15</w:t>
            </w:r>
          </w:p>
        </w:tc>
        <w:tc>
          <w:tcPr>
            <w:tcW w:w="1095" w:type="dxa"/>
            <w:vAlign w:val="center"/>
          </w:tcPr>
          <w:p>
            <w:pPr>
              <w:jc w:val="right"/>
              <w:rPr>
                <w:rFonts w:ascii="Times New Roman" w:hAnsi="Times New Roman"/>
                <w:sz w:val="18"/>
                <w:szCs w:val="18"/>
              </w:rPr>
            </w:pPr>
            <w:r>
              <w:rPr>
                <w:rFonts w:ascii="Times New Roman" w:hAnsi="Times New Roman"/>
                <w:sz w:val="18"/>
                <w:szCs w:val="18"/>
              </w:rPr>
              <w:t>4,327.71</w:t>
            </w:r>
          </w:p>
        </w:tc>
        <w:tc>
          <w:tcPr>
            <w:tcW w:w="1095" w:type="dxa"/>
            <w:vAlign w:val="center"/>
          </w:tcPr>
          <w:p>
            <w:pPr>
              <w:jc w:val="right"/>
              <w:rPr>
                <w:rFonts w:ascii="Times New Roman" w:hAnsi="Times New Roman"/>
                <w:sz w:val="18"/>
                <w:szCs w:val="18"/>
              </w:rPr>
            </w:pPr>
            <w:r>
              <w:rPr>
                <w:rFonts w:ascii="Times New Roman" w:hAnsi="Times New Roman"/>
                <w:sz w:val="18"/>
                <w:szCs w:val="18"/>
              </w:rPr>
              <w:t>43.46</w:t>
            </w:r>
          </w:p>
        </w:tc>
        <w:tc>
          <w:tcPr>
            <w:tcW w:w="1095" w:type="dxa"/>
            <w:vAlign w:val="center"/>
          </w:tcPr>
          <w:p>
            <w:pPr>
              <w:jc w:val="right"/>
              <w:rPr>
                <w:rFonts w:ascii="Times New Roman" w:hAnsi="Times New Roman"/>
                <w:sz w:val="18"/>
                <w:szCs w:val="18"/>
              </w:rPr>
            </w:pPr>
            <w:r>
              <w:rPr>
                <w:rFonts w:ascii="Times New Roman" w:hAnsi="Times New Roman"/>
                <w:sz w:val="18"/>
                <w:szCs w:val="18"/>
              </w:rPr>
              <w:t>1,675.68</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6,488.63</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26,956.76</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9,385.47</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8,955.72</w:t>
            </w:r>
          </w:p>
        </w:tc>
        <w:tc>
          <w:tcPr>
            <w:tcW w:w="1095" w:type="dxa"/>
            <w:shd w:val="clear" w:color="auto" w:fill="FFFFFF"/>
            <w:vAlign w:val="center"/>
          </w:tcPr>
          <w:p>
            <w:pPr>
              <w:jc w:val="right"/>
              <w:rPr>
                <w:rFonts w:ascii="Times New Roman" w:hAnsi="Times New Roman"/>
                <w:sz w:val="18"/>
                <w:szCs w:val="18"/>
              </w:rPr>
            </w:pPr>
            <w:r>
              <w:rPr>
                <w:rFonts w:ascii="Times New Roman" w:hAnsi="Times New Roman"/>
                <w:sz w:val="18"/>
                <w:szCs w:val="18"/>
              </w:rPr>
              <w:t>8,525.96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0949" w:type="dxa"/>
            <w:gridSpan w:val="10"/>
            <w:vAlign w:val="center"/>
          </w:tcPr>
          <w:p>
            <w:pPr>
              <w:jc w:val="right"/>
              <w:rPr>
                <w:rFonts w:ascii="Times New Roman" w:hAnsi="Times New Roman"/>
                <w:sz w:val="18"/>
                <w:szCs w:val="18"/>
              </w:rPr>
            </w:pPr>
          </w:p>
        </w:tc>
      </w:tr>
    </w:tbl>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p>
    <w:p>
      <w:pPr>
        <w:pStyle w:val="19"/>
        <w:tabs>
          <w:tab w:val="left" w:pos="993"/>
          <w:tab w:val="left" w:pos="1276"/>
        </w:tabs>
        <w:spacing w:before="156" w:beforeLines="50" w:after="156" w:afterLines="50" w:line="360" w:lineRule="auto"/>
        <w:ind w:firstLine="0" w:firstLineChars="0"/>
        <w:rPr>
          <w:rFonts w:ascii="宋体" w:hAnsi="宋体" w:eastAsia="宋体"/>
          <w:szCs w:val="21"/>
        </w:rPr>
      </w:pPr>
      <w:r>
        <w:rPr>
          <w:rFonts w:hint="eastAsia" w:ascii="宋体" w:hAnsi="宋体" w:eastAsia="宋体"/>
          <w:szCs w:val="21"/>
        </w:rPr>
        <w:t>续表1</w:t>
      </w:r>
    </w:p>
    <w:tbl>
      <w:tblPr>
        <w:tblStyle w:val="10"/>
        <w:tblW w:w="14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5"/>
        <w:gridCol w:w="1228"/>
        <w:gridCol w:w="1229"/>
        <w:gridCol w:w="1228"/>
        <w:gridCol w:w="1229"/>
        <w:gridCol w:w="1228"/>
        <w:gridCol w:w="1229"/>
        <w:gridCol w:w="1228"/>
        <w:gridCol w:w="122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序号</w:t>
            </w:r>
          </w:p>
        </w:tc>
        <w:tc>
          <w:tcPr>
            <w:tcW w:w="2235"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年度</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2028年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2029年</w:t>
            </w:r>
          </w:p>
        </w:tc>
        <w:tc>
          <w:tcPr>
            <w:tcW w:w="1228" w:type="dxa"/>
            <w:vAlign w:val="center"/>
          </w:tcPr>
          <w:p>
            <w:pPr>
              <w:jc w:val="center"/>
              <w:rPr>
                <w:rFonts w:ascii="Times New Roman" w:hAnsi="Times New Roman"/>
                <w:b/>
                <w:sz w:val="18"/>
                <w:szCs w:val="18"/>
              </w:rPr>
            </w:pPr>
            <w:r>
              <w:rPr>
                <w:rFonts w:ascii="Times New Roman" w:hAnsi="Times New Roman"/>
                <w:b/>
                <w:sz w:val="18"/>
                <w:szCs w:val="18"/>
              </w:rPr>
              <w:t>2030年</w:t>
            </w:r>
          </w:p>
        </w:tc>
        <w:tc>
          <w:tcPr>
            <w:tcW w:w="1229" w:type="dxa"/>
            <w:vAlign w:val="center"/>
          </w:tcPr>
          <w:p>
            <w:pPr>
              <w:jc w:val="center"/>
              <w:rPr>
                <w:rFonts w:ascii="Times New Roman" w:hAnsi="Times New Roman"/>
                <w:b/>
                <w:sz w:val="18"/>
                <w:szCs w:val="18"/>
              </w:rPr>
            </w:pPr>
            <w:r>
              <w:rPr>
                <w:rFonts w:ascii="Times New Roman" w:hAnsi="Times New Roman"/>
                <w:b/>
                <w:sz w:val="18"/>
                <w:szCs w:val="18"/>
              </w:rPr>
              <w:t>2031年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2032年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2033年</w:t>
            </w:r>
          </w:p>
        </w:tc>
        <w:tc>
          <w:tcPr>
            <w:tcW w:w="1228"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2034年</w:t>
            </w:r>
          </w:p>
        </w:tc>
        <w:tc>
          <w:tcPr>
            <w:tcW w:w="1229" w:type="dxa"/>
            <w:shd w:val="clear" w:color="auto" w:fill="FFFFFF"/>
            <w:vAlign w:val="center"/>
          </w:tcPr>
          <w:p>
            <w:pPr>
              <w:jc w:val="center"/>
              <w:rPr>
                <w:rFonts w:ascii="Times New Roman" w:hAnsi="Times New Roman"/>
                <w:b/>
                <w:sz w:val="18"/>
                <w:szCs w:val="18"/>
              </w:rPr>
            </w:pPr>
            <w:r>
              <w:rPr>
                <w:rFonts w:ascii="Times New Roman" w:hAnsi="Times New Roman"/>
                <w:b/>
                <w:sz w:val="18"/>
                <w:szCs w:val="18"/>
              </w:rPr>
              <w:t>2035年</w:t>
            </w:r>
          </w:p>
        </w:tc>
        <w:tc>
          <w:tcPr>
            <w:tcW w:w="1229" w:type="dxa"/>
            <w:shd w:val="clear" w:color="auto" w:fill="FFFFFF"/>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一</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9,714.25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12,229.47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8,407.01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21,031.53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50,781.88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454,466.39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政府财政资金</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292,722.34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1.2</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土地拍卖收入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8,604.65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11,119.87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7,297.41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19,921.93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49,672.28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118,619.65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1.3</w:t>
            </w:r>
          </w:p>
        </w:tc>
        <w:tc>
          <w:tcPr>
            <w:tcW w:w="2235" w:type="dxa"/>
            <w:shd w:val="clear" w:color="auto" w:fill="FFFFFF"/>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项目运营收入</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1,109.60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14,147.40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2020年债券融资</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1.5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本次债券融资</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14,900.00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二</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资金流出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1,539.36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5,331.16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6,439.31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4,768.85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24,967.82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1,040.21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1,040.21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36,758.46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422,332.86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2.1</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项目支出</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321,699.34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2.2</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上缴或扣除的土地收益</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3,791.80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4,899.96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3,229.49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8,778.04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21,883.38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52,280.95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2.3</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项目运营成本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555.96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7,088.45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2.4</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债券发行费用</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31.87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2.5</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2020年债券还本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14,077.00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2.6</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2020年债券利息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484.25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242.13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7,263.75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2.7</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本次债券还本</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14,900.00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14,900.00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kern w:val="0"/>
                <w:sz w:val="18"/>
                <w:szCs w:val="18"/>
              </w:rPr>
            </w:pPr>
            <w:r>
              <w:rPr>
                <w:rFonts w:ascii="Times New Roman" w:hAnsi="Times New Roman" w:eastAsia="宋体"/>
                <w:kern w:val="0"/>
                <w:sz w:val="18"/>
                <w:szCs w:val="18"/>
              </w:rPr>
              <w:t>2.8</w:t>
            </w:r>
          </w:p>
        </w:tc>
        <w:tc>
          <w:tcPr>
            <w:tcW w:w="2235" w:type="dxa"/>
            <w:vAlign w:val="center"/>
          </w:tcPr>
          <w:p>
            <w:pPr>
              <w:widowControl/>
              <w:rPr>
                <w:rFonts w:ascii="Times New Roman" w:hAnsi="Times New Roman" w:eastAsia="宋体"/>
                <w:kern w:val="0"/>
                <w:sz w:val="18"/>
                <w:szCs w:val="18"/>
              </w:rPr>
            </w:pPr>
            <w:r>
              <w:rPr>
                <w:rFonts w:ascii="Times New Roman" w:hAnsi="Times New Roman" w:eastAsia="宋体"/>
                <w:kern w:val="0"/>
                <w:sz w:val="18"/>
                <w:szCs w:val="18"/>
              </w:rPr>
              <w:t>本次债券利息</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499.15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499.15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499.15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499.15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249.58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4,991.50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三</w:t>
            </w:r>
          </w:p>
        </w:tc>
        <w:tc>
          <w:tcPr>
            <w:tcW w:w="2235" w:type="dxa"/>
            <w:vAlign w:val="center"/>
          </w:tcPr>
          <w:p>
            <w:pPr>
              <w:widowControl/>
              <w:jc w:val="left"/>
              <w:rPr>
                <w:rFonts w:ascii="Times New Roman" w:hAnsi="Times New Roman" w:eastAsia="宋体"/>
                <w:b/>
                <w:kern w:val="0"/>
                <w:sz w:val="18"/>
                <w:szCs w:val="18"/>
              </w:rPr>
            </w:pPr>
            <w:r>
              <w:rPr>
                <w:rFonts w:ascii="Times New Roman" w:hAnsi="Times New Roman" w:eastAsia="宋体"/>
                <w:b/>
                <w:kern w:val="0"/>
                <w:sz w:val="18"/>
                <w:szCs w:val="18"/>
              </w:rPr>
              <w:t>当年项目现金净流入</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-429.76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4,383.09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5,790.16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3,638.16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-3,936.29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69.39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69.39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14,023.42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32,133.53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四</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期末项目累计现金结存额</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8,096.20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12,479.30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18,269.45 </w:t>
            </w:r>
          </w:p>
        </w:tc>
        <w:tc>
          <w:tcPr>
            <w:tcW w:w="1229" w:type="dxa"/>
            <w:vAlign w:val="center"/>
          </w:tcPr>
          <w:p>
            <w:pPr>
              <w:jc w:val="right"/>
              <w:rPr>
                <w:rFonts w:ascii="Times New Roman" w:hAnsi="Times New Roman"/>
                <w:sz w:val="18"/>
                <w:szCs w:val="18"/>
              </w:rPr>
            </w:pPr>
            <w:r>
              <w:rPr>
                <w:rFonts w:ascii="Times New Roman" w:hAnsi="Times New Roman"/>
                <w:sz w:val="18"/>
                <w:szCs w:val="18"/>
              </w:rPr>
              <w:t xml:space="preserve"> 21,907.61 </w:t>
            </w:r>
          </w:p>
        </w:tc>
        <w:tc>
          <w:tcPr>
            <w:tcW w:w="1228" w:type="dxa"/>
            <w:vAlign w:val="center"/>
          </w:tcPr>
          <w:p>
            <w:pPr>
              <w:jc w:val="right"/>
              <w:rPr>
                <w:rFonts w:ascii="Times New Roman" w:hAnsi="Times New Roman"/>
                <w:sz w:val="18"/>
                <w:szCs w:val="18"/>
              </w:rPr>
            </w:pPr>
            <w:r>
              <w:rPr>
                <w:rFonts w:ascii="Times New Roman" w:hAnsi="Times New Roman"/>
                <w:sz w:val="18"/>
                <w:szCs w:val="18"/>
              </w:rPr>
              <w:t xml:space="preserve"> 17,971.32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18,040.71 </w:t>
            </w:r>
          </w:p>
        </w:tc>
        <w:tc>
          <w:tcPr>
            <w:tcW w:w="1228"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18,110.11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32,133.53 </w:t>
            </w:r>
          </w:p>
        </w:tc>
        <w:tc>
          <w:tcPr>
            <w:tcW w:w="1229" w:type="dxa"/>
            <w:shd w:val="clear" w:color="auto" w:fill="FFFFFF"/>
            <w:vAlign w:val="center"/>
          </w:tcPr>
          <w:p>
            <w:pPr>
              <w:jc w:val="right"/>
              <w:rPr>
                <w:rFonts w:ascii="Times New Roman" w:hAnsi="Times New Roman"/>
                <w:sz w:val="18"/>
                <w:szCs w:val="18"/>
              </w:rPr>
            </w:pPr>
            <w:r>
              <w:rPr>
                <w:rFonts w:ascii="Times New Roman" w:hAnsi="Times New Roman"/>
                <w:sz w:val="18"/>
                <w:szCs w:val="18"/>
              </w:rPr>
              <w:t xml:space="preserve"> 32,133.53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8" w:type="dxa"/>
            <w:vAlign w:val="center"/>
          </w:tcPr>
          <w:p>
            <w:pPr>
              <w:widowControl/>
              <w:jc w:val="center"/>
              <w:rPr>
                <w:rFonts w:ascii="Times New Roman" w:hAnsi="Times New Roman" w:eastAsia="宋体"/>
                <w:b/>
                <w:bCs/>
                <w:kern w:val="0"/>
                <w:sz w:val="18"/>
                <w:szCs w:val="18"/>
              </w:rPr>
            </w:pPr>
            <w:r>
              <w:rPr>
                <w:rFonts w:ascii="Times New Roman" w:hAnsi="Times New Roman" w:eastAsia="宋体"/>
                <w:b/>
                <w:bCs/>
                <w:kern w:val="0"/>
                <w:sz w:val="18"/>
                <w:szCs w:val="18"/>
              </w:rPr>
              <w:t>五</w:t>
            </w:r>
          </w:p>
        </w:tc>
        <w:tc>
          <w:tcPr>
            <w:tcW w:w="2235" w:type="dxa"/>
            <w:vAlign w:val="center"/>
          </w:tcPr>
          <w:p>
            <w:pPr>
              <w:widowControl/>
              <w:jc w:val="left"/>
              <w:rPr>
                <w:rFonts w:ascii="Times New Roman" w:hAnsi="Times New Roman" w:eastAsia="宋体"/>
                <w:b/>
                <w:bCs/>
                <w:kern w:val="0"/>
                <w:sz w:val="18"/>
                <w:szCs w:val="18"/>
              </w:rPr>
            </w:pPr>
            <w:r>
              <w:rPr>
                <w:rFonts w:ascii="Times New Roman" w:hAnsi="Times New Roman" w:eastAsia="宋体"/>
                <w:b/>
                <w:bCs/>
                <w:kern w:val="0"/>
                <w:sz w:val="18"/>
                <w:szCs w:val="18"/>
              </w:rPr>
              <w:t>本息覆盖倍数</w:t>
            </w:r>
          </w:p>
        </w:tc>
        <w:tc>
          <w:tcPr>
            <w:tcW w:w="11057" w:type="dxa"/>
            <w:gridSpan w:val="9"/>
            <w:vAlign w:val="center"/>
          </w:tcPr>
          <w:p>
            <w:pPr>
              <w:jc w:val="right"/>
              <w:rPr>
                <w:rFonts w:ascii="Times New Roman" w:hAnsi="Times New Roman" w:eastAsia="宋体"/>
                <w:sz w:val="18"/>
                <w:szCs w:val="18"/>
              </w:rPr>
            </w:pPr>
            <w:r>
              <w:rPr>
                <w:rFonts w:hint="eastAsia" w:ascii="Times New Roman" w:hAnsi="Times New Roman" w:eastAsia="宋体"/>
                <w:sz w:val="18"/>
                <w:szCs w:val="18"/>
              </w:rPr>
              <w:t>1.78</w:t>
            </w:r>
          </w:p>
        </w:tc>
      </w:tr>
    </w:tbl>
    <w:p>
      <w:pPr>
        <w:pStyle w:val="7"/>
        <w:spacing w:before="0" w:beforeAutospacing="0" w:after="0" w:afterAutospacing="0"/>
        <w:rPr>
          <w:sz w:val="21"/>
          <w:szCs w:val="21"/>
        </w:rPr>
      </w:pPr>
    </w:p>
    <w:sectPr>
      <w:pgSz w:w="16838" w:h="11906" w:orient="landscape"/>
      <w:pgMar w:top="397" w:right="1440" w:bottom="3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36</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ind w:left="786" w:hanging="360"/>
      </w:pPr>
      <w:rPr>
        <w:rFonts w:hint="default"/>
      </w:rPr>
    </w:lvl>
    <w:lvl w:ilvl="1" w:tentative="0">
      <w:start w:val="1"/>
      <w:numFmt w:val="lowerLetter"/>
      <w:lvlText w:val="%2)"/>
      <w:lvlJc w:val="left"/>
      <w:pPr>
        <w:ind w:left="2020" w:hanging="420"/>
      </w:pPr>
    </w:lvl>
    <w:lvl w:ilvl="2" w:tentative="0">
      <w:start w:val="1"/>
      <w:numFmt w:val="lowerRoman"/>
      <w:lvlText w:val="%3."/>
      <w:lvlJc w:val="right"/>
      <w:pPr>
        <w:ind w:left="2440" w:hanging="420"/>
      </w:pPr>
    </w:lvl>
    <w:lvl w:ilvl="3" w:tentative="0">
      <w:start w:val="1"/>
      <w:numFmt w:val="decimal"/>
      <w:lvlText w:val="%4."/>
      <w:lvlJc w:val="left"/>
      <w:pPr>
        <w:ind w:left="2860" w:hanging="420"/>
      </w:pPr>
    </w:lvl>
    <w:lvl w:ilvl="4" w:tentative="0">
      <w:start w:val="1"/>
      <w:numFmt w:val="lowerLetter"/>
      <w:lvlText w:val="%5)"/>
      <w:lvlJc w:val="left"/>
      <w:pPr>
        <w:ind w:left="3280" w:hanging="420"/>
      </w:pPr>
    </w:lvl>
    <w:lvl w:ilvl="5" w:tentative="0">
      <w:start w:val="1"/>
      <w:numFmt w:val="lowerRoman"/>
      <w:lvlText w:val="%6."/>
      <w:lvlJc w:val="right"/>
      <w:pPr>
        <w:ind w:left="3700" w:hanging="420"/>
      </w:pPr>
    </w:lvl>
    <w:lvl w:ilvl="6" w:tentative="0">
      <w:start w:val="1"/>
      <w:numFmt w:val="decimal"/>
      <w:lvlText w:val="%7."/>
      <w:lvlJc w:val="left"/>
      <w:pPr>
        <w:ind w:left="4120" w:hanging="420"/>
      </w:pPr>
    </w:lvl>
    <w:lvl w:ilvl="7" w:tentative="0">
      <w:start w:val="1"/>
      <w:numFmt w:val="lowerLetter"/>
      <w:lvlText w:val="%8)"/>
      <w:lvlJc w:val="left"/>
      <w:pPr>
        <w:ind w:left="4540" w:hanging="420"/>
      </w:pPr>
    </w:lvl>
    <w:lvl w:ilvl="8" w:tentative="0">
      <w:start w:val="1"/>
      <w:numFmt w:val="lowerRoman"/>
      <w:lvlText w:val="%9."/>
      <w:lvlJc w:val="right"/>
      <w:pPr>
        <w:ind w:left="4960" w:hanging="420"/>
      </w:pPr>
    </w:lvl>
  </w:abstractNum>
  <w:abstractNum w:abstractNumId="1">
    <w:nsid w:val="00000003"/>
    <w:multiLevelType w:val="multilevel"/>
    <w:tmpl w:val="00000003"/>
    <w:lvl w:ilvl="0" w:tentative="0">
      <w:start w:val="1"/>
      <w:numFmt w:val="japaneseCounting"/>
      <w:lvlText w:val="（%1）"/>
      <w:lvlJc w:val="left"/>
      <w:pPr>
        <w:ind w:left="1855" w:hanging="7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2">
    <w:nsid w:val="00000005"/>
    <w:multiLevelType w:val="multilevel"/>
    <w:tmpl w:val="00000005"/>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CD579C"/>
    <w:multiLevelType w:val="multilevel"/>
    <w:tmpl w:val="4ACD579C"/>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A745599"/>
    <w:multiLevelType w:val="multilevel"/>
    <w:tmpl w:val="5A74559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DFkMTJiOTIwMmMwODIzZDYzODc0MzJjMDIwODcifQ=="/>
  </w:docVars>
  <w:rsids>
    <w:rsidRoot w:val="00156162"/>
    <w:rsid w:val="000059B7"/>
    <w:rsid w:val="000070ED"/>
    <w:rsid w:val="00014911"/>
    <w:rsid w:val="0001714A"/>
    <w:rsid w:val="00024F61"/>
    <w:rsid w:val="00044295"/>
    <w:rsid w:val="00060438"/>
    <w:rsid w:val="00064812"/>
    <w:rsid w:val="00066366"/>
    <w:rsid w:val="0007089F"/>
    <w:rsid w:val="0009045E"/>
    <w:rsid w:val="000A4ADB"/>
    <w:rsid w:val="000A7E55"/>
    <w:rsid w:val="000B4F38"/>
    <w:rsid w:val="000B7101"/>
    <w:rsid w:val="000C4043"/>
    <w:rsid w:val="000D2DB0"/>
    <w:rsid w:val="000E22D3"/>
    <w:rsid w:val="000F49F1"/>
    <w:rsid w:val="000F6B9F"/>
    <w:rsid w:val="001219FC"/>
    <w:rsid w:val="00125FA6"/>
    <w:rsid w:val="001267EE"/>
    <w:rsid w:val="001300B7"/>
    <w:rsid w:val="00132308"/>
    <w:rsid w:val="00137B3E"/>
    <w:rsid w:val="00145C91"/>
    <w:rsid w:val="001512BC"/>
    <w:rsid w:val="00156162"/>
    <w:rsid w:val="00163E86"/>
    <w:rsid w:val="001706E3"/>
    <w:rsid w:val="001737CC"/>
    <w:rsid w:val="001764B7"/>
    <w:rsid w:val="00180E68"/>
    <w:rsid w:val="0018224B"/>
    <w:rsid w:val="00186F45"/>
    <w:rsid w:val="001A632A"/>
    <w:rsid w:val="001C26D8"/>
    <w:rsid w:val="001D5097"/>
    <w:rsid w:val="001D6344"/>
    <w:rsid w:val="001E1E01"/>
    <w:rsid w:val="001E2016"/>
    <w:rsid w:val="001E45BF"/>
    <w:rsid w:val="0020265F"/>
    <w:rsid w:val="00206533"/>
    <w:rsid w:val="00223927"/>
    <w:rsid w:val="00224182"/>
    <w:rsid w:val="00225E2B"/>
    <w:rsid w:val="00230CC1"/>
    <w:rsid w:val="00244387"/>
    <w:rsid w:val="002513B9"/>
    <w:rsid w:val="00270415"/>
    <w:rsid w:val="00287F78"/>
    <w:rsid w:val="00291EA0"/>
    <w:rsid w:val="0029310B"/>
    <w:rsid w:val="002B1DFF"/>
    <w:rsid w:val="002B39CD"/>
    <w:rsid w:val="002C4148"/>
    <w:rsid w:val="002C7BB2"/>
    <w:rsid w:val="002D31F5"/>
    <w:rsid w:val="002E029C"/>
    <w:rsid w:val="00307C45"/>
    <w:rsid w:val="00326FA2"/>
    <w:rsid w:val="00333AFA"/>
    <w:rsid w:val="003344C2"/>
    <w:rsid w:val="0034036A"/>
    <w:rsid w:val="003461A0"/>
    <w:rsid w:val="003704E4"/>
    <w:rsid w:val="00371EAB"/>
    <w:rsid w:val="003964F4"/>
    <w:rsid w:val="003A11A6"/>
    <w:rsid w:val="003A3602"/>
    <w:rsid w:val="003A57A7"/>
    <w:rsid w:val="003A6533"/>
    <w:rsid w:val="003B4B1A"/>
    <w:rsid w:val="003B732F"/>
    <w:rsid w:val="003C2A80"/>
    <w:rsid w:val="003D366A"/>
    <w:rsid w:val="003E593F"/>
    <w:rsid w:val="004054A1"/>
    <w:rsid w:val="0040738B"/>
    <w:rsid w:val="004114C1"/>
    <w:rsid w:val="00421C91"/>
    <w:rsid w:val="00421E15"/>
    <w:rsid w:val="00426213"/>
    <w:rsid w:val="004377DB"/>
    <w:rsid w:val="004510F3"/>
    <w:rsid w:val="004579BF"/>
    <w:rsid w:val="004607EA"/>
    <w:rsid w:val="0047519A"/>
    <w:rsid w:val="00492547"/>
    <w:rsid w:val="004A20AF"/>
    <w:rsid w:val="004A42B4"/>
    <w:rsid w:val="004A5E6C"/>
    <w:rsid w:val="004B0244"/>
    <w:rsid w:val="004D25DB"/>
    <w:rsid w:val="004D4260"/>
    <w:rsid w:val="004E19E3"/>
    <w:rsid w:val="004E2503"/>
    <w:rsid w:val="0050466A"/>
    <w:rsid w:val="00506DF4"/>
    <w:rsid w:val="005118E4"/>
    <w:rsid w:val="00520FE0"/>
    <w:rsid w:val="00523497"/>
    <w:rsid w:val="0055171C"/>
    <w:rsid w:val="0056410B"/>
    <w:rsid w:val="00565F91"/>
    <w:rsid w:val="005805DC"/>
    <w:rsid w:val="005B2395"/>
    <w:rsid w:val="005B7815"/>
    <w:rsid w:val="005C3F6D"/>
    <w:rsid w:val="005E0785"/>
    <w:rsid w:val="005E6DA8"/>
    <w:rsid w:val="005F5BF4"/>
    <w:rsid w:val="005F6C84"/>
    <w:rsid w:val="0061069E"/>
    <w:rsid w:val="006136D4"/>
    <w:rsid w:val="006276F6"/>
    <w:rsid w:val="006550BC"/>
    <w:rsid w:val="00656BA6"/>
    <w:rsid w:val="0066145F"/>
    <w:rsid w:val="00667497"/>
    <w:rsid w:val="006700A5"/>
    <w:rsid w:val="00680BEB"/>
    <w:rsid w:val="006B44A4"/>
    <w:rsid w:val="006E044D"/>
    <w:rsid w:val="006E1A82"/>
    <w:rsid w:val="007014A2"/>
    <w:rsid w:val="00706278"/>
    <w:rsid w:val="007176CB"/>
    <w:rsid w:val="007176F6"/>
    <w:rsid w:val="00717867"/>
    <w:rsid w:val="00717DAA"/>
    <w:rsid w:val="00723567"/>
    <w:rsid w:val="0073267C"/>
    <w:rsid w:val="00735874"/>
    <w:rsid w:val="0074643D"/>
    <w:rsid w:val="00763940"/>
    <w:rsid w:val="007640FA"/>
    <w:rsid w:val="00764BCE"/>
    <w:rsid w:val="007663F4"/>
    <w:rsid w:val="00781FC7"/>
    <w:rsid w:val="0079235F"/>
    <w:rsid w:val="0079268B"/>
    <w:rsid w:val="00795C62"/>
    <w:rsid w:val="007974E2"/>
    <w:rsid w:val="007A528F"/>
    <w:rsid w:val="007C3744"/>
    <w:rsid w:val="007D13A8"/>
    <w:rsid w:val="007D4597"/>
    <w:rsid w:val="007D5539"/>
    <w:rsid w:val="007E77C5"/>
    <w:rsid w:val="00802535"/>
    <w:rsid w:val="0080267E"/>
    <w:rsid w:val="008028A8"/>
    <w:rsid w:val="0080356F"/>
    <w:rsid w:val="00804DBE"/>
    <w:rsid w:val="008068C5"/>
    <w:rsid w:val="00812C59"/>
    <w:rsid w:val="008311C3"/>
    <w:rsid w:val="0083273A"/>
    <w:rsid w:val="008412DE"/>
    <w:rsid w:val="00852892"/>
    <w:rsid w:val="00853BEE"/>
    <w:rsid w:val="0086594B"/>
    <w:rsid w:val="008676AF"/>
    <w:rsid w:val="00874EFE"/>
    <w:rsid w:val="008779A5"/>
    <w:rsid w:val="00877A1E"/>
    <w:rsid w:val="008807D8"/>
    <w:rsid w:val="00892752"/>
    <w:rsid w:val="008979A6"/>
    <w:rsid w:val="008A14F7"/>
    <w:rsid w:val="008A3783"/>
    <w:rsid w:val="008A6873"/>
    <w:rsid w:val="008C3C68"/>
    <w:rsid w:val="008C3E75"/>
    <w:rsid w:val="008D3699"/>
    <w:rsid w:val="008F520E"/>
    <w:rsid w:val="00917D2A"/>
    <w:rsid w:val="00930203"/>
    <w:rsid w:val="00944ECA"/>
    <w:rsid w:val="0096473D"/>
    <w:rsid w:val="009D02BE"/>
    <w:rsid w:val="009D30CD"/>
    <w:rsid w:val="009E5B45"/>
    <w:rsid w:val="009E72CE"/>
    <w:rsid w:val="00A0368E"/>
    <w:rsid w:val="00A037DF"/>
    <w:rsid w:val="00A15D74"/>
    <w:rsid w:val="00A4365F"/>
    <w:rsid w:val="00A45E70"/>
    <w:rsid w:val="00A5075A"/>
    <w:rsid w:val="00A70937"/>
    <w:rsid w:val="00A72EEE"/>
    <w:rsid w:val="00A97E72"/>
    <w:rsid w:val="00AA7A96"/>
    <w:rsid w:val="00AC0237"/>
    <w:rsid w:val="00AC4ED6"/>
    <w:rsid w:val="00AD497A"/>
    <w:rsid w:val="00AE1FA7"/>
    <w:rsid w:val="00AF01F1"/>
    <w:rsid w:val="00AF2A12"/>
    <w:rsid w:val="00B0004F"/>
    <w:rsid w:val="00B00B29"/>
    <w:rsid w:val="00B05098"/>
    <w:rsid w:val="00B11E99"/>
    <w:rsid w:val="00B141D5"/>
    <w:rsid w:val="00B23521"/>
    <w:rsid w:val="00B3215B"/>
    <w:rsid w:val="00B412F9"/>
    <w:rsid w:val="00B44C13"/>
    <w:rsid w:val="00B464FC"/>
    <w:rsid w:val="00B63151"/>
    <w:rsid w:val="00B662F7"/>
    <w:rsid w:val="00B734D6"/>
    <w:rsid w:val="00B906DE"/>
    <w:rsid w:val="00B9317A"/>
    <w:rsid w:val="00BA0D3A"/>
    <w:rsid w:val="00BA487D"/>
    <w:rsid w:val="00BB2B9F"/>
    <w:rsid w:val="00BB7418"/>
    <w:rsid w:val="00BC05AE"/>
    <w:rsid w:val="00BC0FFD"/>
    <w:rsid w:val="00BE6492"/>
    <w:rsid w:val="00BE74CF"/>
    <w:rsid w:val="00C00C01"/>
    <w:rsid w:val="00C0194E"/>
    <w:rsid w:val="00C31D87"/>
    <w:rsid w:val="00C437FD"/>
    <w:rsid w:val="00C457BD"/>
    <w:rsid w:val="00C70F9D"/>
    <w:rsid w:val="00C76277"/>
    <w:rsid w:val="00C8137C"/>
    <w:rsid w:val="00C81912"/>
    <w:rsid w:val="00C847FD"/>
    <w:rsid w:val="00CA4564"/>
    <w:rsid w:val="00CB5410"/>
    <w:rsid w:val="00CB5F0D"/>
    <w:rsid w:val="00CC26A9"/>
    <w:rsid w:val="00D02ADA"/>
    <w:rsid w:val="00D22EFA"/>
    <w:rsid w:val="00D40809"/>
    <w:rsid w:val="00D54D41"/>
    <w:rsid w:val="00D579BC"/>
    <w:rsid w:val="00D6128A"/>
    <w:rsid w:val="00D65841"/>
    <w:rsid w:val="00D71153"/>
    <w:rsid w:val="00D7374E"/>
    <w:rsid w:val="00DA3E60"/>
    <w:rsid w:val="00DA4B4A"/>
    <w:rsid w:val="00DA6648"/>
    <w:rsid w:val="00DC1AC2"/>
    <w:rsid w:val="00DD48DA"/>
    <w:rsid w:val="00DD7BF0"/>
    <w:rsid w:val="00DE67AF"/>
    <w:rsid w:val="00DF33A9"/>
    <w:rsid w:val="00E04E13"/>
    <w:rsid w:val="00E13FF9"/>
    <w:rsid w:val="00E14E93"/>
    <w:rsid w:val="00E177AD"/>
    <w:rsid w:val="00E242DA"/>
    <w:rsid w:val="00E2542D"/>
    <w:rsid w:val="00E360E9"/>
    <w:rsid w:val="00E36390"/>
    <w:rsid w:val="00E3730A"/>
    <w:rsid w:val="00E4523B"/>
    <w:rsid w:val="00E51BFA"/>
    <w:rsid w:val="00E5362E"/>
    <w:rsid w:val="00E62112"/>
    <w:rsid w:val="00E6401D"/>
    <w:rsid w:val="00E900AF"/>
    <w:rsid w:val="00E979D0"/>
    <w:rsid w:val="00EA0568"/>
    <w:rsid w:val="00EA502D"/>
    <w:rsid w:val="00EA5D3C"/>
    <w:rsid w:val="00EB341F"/>
    <w:rsid w:val="00EC054D"/>
    <w:rsid w:val="00ED10CD"/>
    <w:rsid w:val="00ED6F3D"/>
    <w:rsid w:val="00EE542B"/>
    <w:rsid w:val="00EF5C44"/>
    <w:rsid w:val="00F01D29"/>
    <w:rsid w:val="00F03F31"/>
    <w:rsid w:val="00F23EAA"/>
    <w:rsid w:val="00F43696"/>
    <w:rsid w:val="00F465E3"/>
    <w:rsid w:val="00F559C3"/>
    <w:rsid w:val="00F7091B"/>
    <w:rsid w:val="00F70BAD"/>
    <w:rsid w:val="00F74E24"/>
    <w:rsid w:val="00FB53B5"/>
    <w:rsid w:val="00FB5E76"/>
    <w:rsid w:val="00FC0CAA"/>
    <w:rsid w:val="00FC30EE"/>
    <w:rsid w:val="00FD3C18"/>
    <w:rsid w:val="00FF7080"/>
    <w:rsid w:val="02480B5A"/>
    <w:rsid w:val="06702520"/>
    <w:rsid w:val="0B9B0FA9"/>
    <w:rsid w:val="164240C1"/>
    <w:rsid w:val="1760659D"/>
    <w:rsid w:val="1778602A"/>
    <w:rsid w:val="179F2E3E"/>
    <w:rsid w:val="19DE0EBA"/>
    <w:rsid w:val="25284123"/>
    <w:rsid w:val="2A6A796E"/>
    <w:rsid w:val="38D951C2"/>
    <w:rsid w:val="49553FC5"/>
    <w:rsid w:val="499A5778"/>
    <w:rsid w:val="639516DC"/>
    <w:rsid w:val="7BFE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Indent"/>
    <w:basedOn w:val="1"/>
    <w:link w:val="31"/>
    <w:semiHidden/>
    <w:unhideWhenUsed/>
    <w:qFormat/>
    <w:uiPriority w:val="99"/>
    <w:pPr>
      <w:spacing w:after="120"/>
      <w:ind w:left="420" w:leftChars="200"/>
    </w:pPr>
  </w:style>
  <w:style w:type="paragraph" w:styleId="4">
    <w:name w:val="Balloon Text"/>
    <w:basedOn w:val="1"/>
    <w:link w:val="15"/>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8"/>
    <w:qFormat/>
    <w:uiPriority w:val="0"/>
    <w:rPr>
      <w:b/>
      <w:bCs/>
    </w:rPr>
  </w:style>
  <w:style w:type="paragraph" w:styleId="9">
    <w:name w:val="Body Text First Indent 2"/>
    <w:basedOn w:val="3"/>
    <w:link w:val="32"/>
    <w:qFormat/>
    <w:uiPriority w:val="0"/>
    <w:pPr>
      <w:ind w:firstLine="420"/>
    </w:pPr>
    <w:rPr>
      <w:rFonts w:asciiTheme="minorHAnsi" w:hAnsiTheme="minorHAnsi" w:eastAsiaTheme="minorEastAsia" w:cstheme="minorBidi"/>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0"/>
    <w:rPr>
      <w:sz w:val="21"/>
      <w:szCs w:val="21"/>
    </w:rPr>
  </w:style>
  <w:style w:type="character" w:customStyle="1" w:styleId="14">
    <w:name w:val="批注文字 Char"/>
    <w:link w:val="2"/>
    <w:qFormat/>
    <w:uiPriority w:val="0"/>
    <w:rPr>
      <w:rFonts w:ascii="等线" w:hAnsi="等线" w:eastAsia="等线"/>
      <w:kern w:val="2"/>
      <w:sz w:val="21"/>
      <w:szCs w:val="22"/>
    </w:rPr>
  </w:style>
  <w:style w:type="character" w:customStyle="1" w:styleId="15">
    <w:name w:val="批注框文本 Char"/>
    <w:link w:val="4"/>
    <w:qFormat/>
    <w:uiPriority w:val="99"/>
    <w:rPr>
      <w:sz w:val="18"/>
      <w:szCs w:val="18"/>
    </w:rPr>
  </w:style>
  <w:style w:type="character" w:customStyle="1" w:styleId="16">
    <w:name w:val="页脚 Char"/>
    <w:link w:val="5"/>
    <w:qFormat/>
    <w:uiPriority w:val="99"/>
    <w:rPr>
      <w:sz w:val="18"/>
      <w:szCs w:val="18"/>
    </w:rPr>
  </w:style>
  <w:style w:type="character" w:customStyle="1" w:styleId="17">
    <w:name w:val="页眉 Char"/>
    <w:link w:val="6"/>
    <w:qFormat/>
    <w:uiPriority w:val="99"/>
    <w:rPr>
      <w:sz w:val="18"/>
      <w:szCs w:val="18"/>
    </w:rPr>
  </w:style>
  <w:style w:type="character" w:customStyle="1" w:styleId="18">
    <w:name w:val="批注主题 Char"/>
    <w:link w:val="8"/>
    <w:qFormat/>
    <w:uiPriority w:val="0"/>
    <w:rPr>
      <w:rFonts w:ascii="等线" w:hAnsi="等线" w:eastAsia="等线"/>
      <w:b/>
      <w:bCs/>
      <w:kern w:val="2"/>
      <w:sz w:val="21"/>
      <w:szCs w:val="22"/>
    </w:rPr>
  </w:style>
  <w:style w:type="paragraph" w:customStyle="1" w:styleId="19">
    <w:name w:val="列出段落1"/>
    <w:basedOn w:val="1"/>
    <w:qFormat/>
    <w:uiPriority w:val="34"/>
    <w:pPr>
      <w:ind w:firstLine="420" w:firstLineChars="200"/>
    </w:pPr>
  </w:style>
  <w:style w:type="paragraph" w:customStyle="1" w:styleId="20">
    <w:name w:val="Char Char Char Char Char Char Char"/>
    <w:basedOn w:val="1"/>
    <w:qFormat/>
    <w:uiPriority w:val="0"/>
    <w:pPr>
      <w:spacing w:line="480" w:lineRule="auto"/>
    </w:pPr>
    <w:rPr>
      <w:rFonts w:ascii="Times New Roman" w:hAnsi="Times New Roman" w:eastAsia="宋体"/>
      <w:szCs w:val="21"/>
    </w:rPr>
  </w:style>
  <w:style w:type="paragraph" w:styleId="21">
    <w:name w:val="List Paragraph"/>
    <w:basedOn w:val="1"/>
    <w:qFormat/>
    <w:uiPriority w:val="99"/>
    <w:pPr>
      <w:ind w:firstLine="420" w:firstLineChars="200"/>
    </w:pPr>
  </w:style>
  <w:style w:type="character" w:customStyle="1" w:styleId="22">
    <w:name w:val="样式 四号"/>
    <w:qFormat/>
    <w:uiPriority w:val="0"/>
    <w:rPr>
      <w:rFonts w:hint="eastAsia" w:ascii="宋体" w:hAnsi="宋体" w:eastAsia="宋体"/>
      <w:sz w:val="24"/>
    </w:rPr>
  </w:style>
  <w:style w:type="character" w:styleId="23">
    <w:name w:val="Placeholder Text"/>
    <w:basedOn w:val="12"/>
    <w:semiHidden/>
    <w:qFormat/>
    <w:uiPriority w:val="99"/>
    <w:rPr>
      <w:color w:val="808080"/>
    </w:rPr>
  </w:style>
  <w:style w:type="paragraph" w:customStyle="1" w:styleId="24">
    <w:name w:val="修订1"/>
    <w:hidden/>
    <w:semiHidden/>
    <w:qFormat/>
    <w:uiPriority w:val="99"/>
    <w:rPr>
      <w:rFonts w:ascii="等线" w:hAnsi="等线" w:eastAsia="等线" w:cs="Times New Roman"/>
      <w:kern w:val="2"/>
      <w:sz w:val="21"/>
      <w:szCs w:val="22"/>
      <w:lang w:val="en-US" w:eastAsia="zh-CN" w:bidi="ar-SA"/>
    </w:rPr>
  </w:style>
  <w:style w:type="character" w:customStyle="1" w:styleId="25">
    <w:name w:val="font31"/>
    <w:basedOn w:val="12"/>
    <w:qFormat/>
    <w:uiPriority w:val="0"/>
    <w:rPr>
      <w:rFonts w:hint="default" w:ascii="Arial" w:hAnsi="Arial" w:cs="Arial"/>
      <w:color w:val="000000"/>
      <w:sz w:val="20"/>
      <w:szCs w:val="20"/>
      <w:u w:val="none"/>
    </w:rPr>
  </w:style>
  <w:style w:type="character" w:customStyle="1" w:styleId="26">
    <w:name w:val="font51"/>
    <w:basedOn w:val="12"/>
    <w:qFormat/>
    <w:uiPriority w:val="0"/>
    <w:rPr>
      <w:rFonts w:hint="eastAsia" w:ascii="宋体" w:hAnsi="宋体" w:eastAsia="宋体" w:cs="宋体"/>
      <w:color w:val="000000"/>
      <w:sz w:val="20"/>
      <w:szCs w:val="20"/>
      <w:u w:val="none"/>
    </w:rPr>
  </w:style>
  <w:style w:type="character" w:customStyle="1" w:styleId="27">
    <w:name w:val="font41"/>
    <w:basedOn w:val="12"/>
    <w:qFormat/>
    <w:uiPriority w:val="0"/>
    <w:rPr>
      <w:rFonts w:hint="default" w:ascii="Arial" w:hAnsi="Arial" w:cs="Arial"/>
      <w:color w:val="000000"/>
      <w:sz w:val="20"/>
      <w:szCs w:val="20"/>
      <w:u w:val="none"/>
    </w:rPr>
  </w:style>
  <w:style w:type="character" w:customStyle="1" w:styleId="28">
    <w:name w:val="font01"/>
    <w:basedOn w:val="12"/>
    <w:qFormat/>
    <w:uiPriority w:val="0"/>
    <w:rPr>
      <w:rFonts w:hint="eastAsia" w:ascii="宋体" w:hAnsi="宋体" w:eastAsia="宋体" w:cs="宋体"/>
      <w:color w:val="000000"/>
      <w:sz w:val="20"/>
      <w:szCs w:val="20"/>
      <w:u w:val="none"/>
    </w:rPr>
  </w:style>
  <w:style w:type="character" w:customStyle="1" w:styleId="29">
    <w:name w:val="font21"/>
    <w:basedOn w:val="12"/>
    <w:qFormat/>
    <w:uiPriority w:val="0"/>
    <w:rPr>
      <w:rFonts w:hint="default" w:ascii="Arial" w:hAnsi="Arial" w:cs="Arial"/>
      <w:color w:val="000000"/>
      <w:sz w:val="20"/>
      <w:szCs w:val="20"/>
      <w:u w:val="none"/>
    </w:rPr>
  </w:style>
  <w:style w:type="character" w:customStyle="1" w:styleId="30">
    <w:name w:val="font11"/>
    <w:basedOn w:val="12"/>
    <w:qFormat/>
    <w:uiPriority w:val="0"/>
    <w:rPr>
      <w:rFonts w:hint="eastAsia" w:ascii="宋体" w:hAnsi="宋体" w:eastAsia="宋体" w:cs="宋体"/>
      <w:color w:val="000000"/>
      <w:sz w:val="20"/>
      <w:szCs w:val="20"/>
      <w:u w:val="none"/>
    </w:rPr>
  </w:style>
  <w:style w:type="character" w:customStyle="1" w:styleId="31">
    <w:name w:val="正文文本缩进 Char"/>
    <w:basedOn w:val="12"/>
    <w:link w:val="3"/>
    <w:semiHidden/>
    <w:qFormat/>
    <w:uiPriority w:val="99"/>
    <w:rPr>
      <w:rFonts w:ascii="等线" w:hAnsi="等线" w:eastAsia="等线"/>
      <w:kern w:val="2"/>
      <w:sz w:val="21"/>
      <w:szCs w:val="22"/>
    </w:rPr>
  </w:style>
  <w:style w:type="character" w:customStyle="1" w:styleId="32">
    <w:name w:val="正文首行缩进 2 Char"/>
    <w:basedOn w:val="31"/>
    <w:link w:val="9"/>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C2C0864-F48C-4A69-9A7D-BBAE50714255}">
  <ds:schemaRefs/>
</ds:datastoreItem>
</file>

<file path=customXml/itemProps2.xml><?xml version="1.0" encoding="utf-8"?>
<ds:datastoreItem xmlns:ds="http://schemas.openxmlformats.org/officeDocument/2006/customXml" ds:itemID="{3C448B19-14C9-4637-95A6-FC1F04833F71}">
  <ds:schemaRefs/>
</ds:datastoreItem>
</file>

<file path=customXml/itemProps3.xml><?xml version="1.0" encoding="utf-8"?>
<ds:datastoreItem xmlns:ds="http://schemas.openxmlformats.org/officeDocument/2006/customXml" ds:itemID="{14018669-400F-4225-8A64-3EF594BB4CF3}">
  <ds:schemaRefs/>
</ds:datastoreItem>
</file>

<file path=customXml/itemProps4.xml><?xml version="1.0" encoding="utf-8"?>
<ds:datastoreItem xmlns:ds="http://schemas.openxmlformats.org/officeDocument/2006/customXml" ds:itemID="{BD6BB7DB-D3B5-4BCC-BFE1-5C0F1B2A307E}">
  <ds:schemaRefs/>
</ds:datastoreItem>
</file>

<file path=customXml/itemProps5.xml><?xml version="1.0" encoding="utf-8"?>
<ds:datastoreItem xmlns:ds="http://schemas.openxmlformats.org/officeDocument/2006/customXml" ds:itemID="{16180F86-7841-4491-8846-C5DD6F8274EE}">
  <ds:schemaRefs/>
</ds:datastoreItem>
</file>

<file path=customXml/itemProps6.xml><?xml version="1.0" encoding="utf-8"?>
<ds:datastoreItem xmlns:ds="http://schemas.openxmlformats.org/officeDocument/2006/customXml" ds:itemID="{87C4E73D-0BAA-4374-93AF-DEF9EF3C0C40}">
  <ds:schemaRefs/>
</ds:datastoreItem>
</file>

<file path=customXml/itemProps7.xml><?xml version="1.0" encoding="utf-8"?>
<ds:datastoreItem xmlns:ds="http://schemas.openxmlformats.org/officeDocument/2006/customXml" ds:itemID="{C45FBBE1-A6A3-4127-AD8F-82846F19EF7C}">
  <ds:schemaRefs/>
</ds:datastoreItem>
</file>

<file path=customXml/itemProps8.xml><?xml version="1.0" encoding="utf-8"?>
<ds:datastoreItem xmlns:ds="http://schemas.openxmlformats.org/officeDocument/2006/customXml" ds:itemID="{2F9CC1C2-B334-474A-94BC-BF4A1CDC18FC}">
  <ds:schemaRefs/>
</ds:datastoreItem>
</file>

<file path=customXml/itemProps9.xml><?xml version="1.0" encoding="utf-8"?>
<ds:datastoreItem xmlns:ds="http://schemas.openxmlformats.org/officeDocument/2006/customXml" ds:itemID="{1647ABC8-9E6A-4DEC-9751-4A368442F569}">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46</Pages>
  <Words>20225</Words>
  <Characters>32556</Characters>
  <Lines>315</Lines>
  <Paragraphs>88</Paragraphs>
  <TotalTime>5</TotalTime>
  <ScaleCrop>false</ScaleCrop>
  <LinksUpToDate>false</LinksUpToDate>
  <CharactersWithSpaces>38854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2022-06-07T06:36:00Z</dcterms:created>
  <dc:creator>xtzj</dc:creator>
  <cp:lastModifiedBy>✨小宇宙大爆发</cp:lastModifiedBy>
  <cp:lastPrinted>2022-06-14T01:18:00Z</cp:lastPrinted>
  <dcterms:modified xsi:type="dcterms:W3CDTF">2023-06-29T08:40:42Z</dcterms:modified>
  <dc:title>2019年儋州市兰洋特色小镇项目专项债券（二期)</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22976A47E0EF4FCE93FB1C39983D1D92_13</vt:lpwstr>
  </property>
</Properties>
</file>